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US"/>
        </w:r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91D3E" w:rsidRDefault="00722C95" w:rsidP="002D7B59">
          <w:pPr>
            <w:pStyle w:val="Otsikko10"/>
            <w:rPr>
              <w:lang w:val="en-US"/>
            </w:rPr>
          </w:pPr>
          <w:r w:rsidRPr="00722C95">
            <w:rPr>
              <w:lang w:val="en-US"/>
            </w:rPr>
            <w:t>MRI examination of the lower abdomen</w:t>
          </w:r>
        </w:p>
      </w:sdtContent>
    </w:sdt>
    <w:p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8609"/>
      </w:tblGrid>
      <w:tr w:rsidR="00871A83" w:rsidRPr="002033D6" w:rsidTr="0080213A">
        <w:tc>
          <w:tcPr>
            <w:tcW w:w="1280" w:type="dxa"/>
          </w:tcPr>
          <w:p w:rsidR="00871A83" w:rsidRPr="00871A83" w:rsidRDefault="00722C95" w:rsidP="00871A83">
            <w:proofErr w:type="spellStart"/>
            <w:r>
              <w:t>Description</w:t>
            </w:r>
            <w:proofErr w:type="spellEnd"/>
            <w:r w:rsidR="00871A83" w:rsidRPr="00871A83">
              <w:t>:</w:t>
            </w:r>
          </w:p>
        </w:tc>
        <w:tc>
          <w:tcPr>
            <w:tcW w:w="8609" w:type="dxa"/>
          </w:tcPr>
          <w:sdt>
            <w:sdtPr>
              <w:rPr>
                <w:lang w:val="en-US"/>
              </w:r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722C95" w:rsidRDefault="00722C95" w:rsidP="00871A83">
                <w:pPr>
                  <w:rPr>
                    <w:lang w:val="en-US"/>
                  </w:rPr>
                </w:pPr>
                <w:r w:rsidRPr="00722C95">
                  <w:rPr>
                    <w:lang w:val="en-US"/>
                  </w:rPr>
                  <w:t>MRI examination of the lower abdomen, gynecological examinations, non-gynecological examination</w:t>
                </w:r>
              </w:p>
            </w:sdtContent>
          </w:sdt>
        </w:tc>
      </w:tr>
    </w:tbl>
    <w:p w:rsidR="00871A83" w:rsidRPr="00722C95" w:rsidRDefault="00871A83" w:rsidP="00871A83">
      <w:pPr>
        <w:rPr>
          <w:lang w:val="en-US"/>
        </w:rPr>
      </w:pPr>
    </w:p>
    <w:p w:rsidR="00722C95" w:rsidRDefault="00722C95" w:rsidP="00722C95">
      <w:pPr>
        <w:rPr>
          <w:b/>
          <w:lang w:val="en-US"/>
        </w:rPr>
      </w:pPr>
      <w:r>
        <w:rPr>
          <w:b/>
          <w:lang w:val="en-US"/>
        </w:rPr>
        <w:t>GYNECOLOGICAL EXAMINATION</w:t>
      </w:r>
    </w:p>
    <w:p w:rsidR="00722C95" w:rsidRDefault="00722C95" w:rsidP="00722C95">
      <w:pPr>
        <w:rPr>
          <w:b/>
          <w:lang w:val="en-US"/>
        </w:rPr>
      </w:pPr>
    </w:p>
    <w:p w:rsidR="00722C95" w:rsidRDefault="00722C95" w:rsidP="00722C95">
      <w:pPr>
        <w:rPr>
          <w:b/>
          <w:lang w:val="en-US"/>
        </w:rPr>
      </w:pPr>
      <w:r>
        <w:rPr>
          <w:b/>
          <w:lang w:val="en-US"/>
        </w:rPr>
        <w:t>PREPARATION FOR THE EXAMINATION</w:t>
      </w:r>
    </w:p>
    <w:p w:rsidR="00722C95" w:rsidRDefault="00722C95" w:rsidP="00722C95">
      <w:pPr>
        <w:rPr>
          <w:b/>
          <w:lang w:val="en-US"/>
        </w:rPr>
      </w:pPr>
    </w:p>
    <w:p w:rsidR="00722C95" w:rsidRDefault="00722C95" w:rsidP="00722C95">
      <w:pPr>
        <w:ind w:left="1304" w:firstLine="1"/>
        <w:rPr>
          <w:lang w:val="en-US"/>
        </w:rPr>
      </w:pPr>
      <w:r>
        <w:rPr>
          <w:lang w:val="en-US"/>
        </w:rPr>
        <w:t>Please do not eat for at least four hours before the examination. However, you can drink water and take your medicine. For the bladder not to be completely empty, do not urinate for one hour before the examination.</w:t>
      </w:r>
    </w:p>
    <w:p w:rsidR="00722C95" w:rsidRDefault="00722C95" w:rsidP="00722C95">
      <w:pPr>
        <w:ind w:left="1304" w:firstLine="1"/>
        <w:rPr>
          <w:b/>
          <w:lang w:val="en-US"/>
        </w:rPr>
      </w:pPr>
    </w:p>
    <w:p w:rsidR="00722C95" w:rsidRDefault="00722C95" w:rsidP="00722C95">
      <w:pPr>
        <w:rPr>
          <w:b/>
          <w:lang w:val="en-US"/>
        </w:rPr>
      </w:pPr>
      <w:r>
        <w:rPr>
          <w:b/>
          <w:lang w:val="en-US"/>
        </w:rPr>
        <w:t>EXAMINATION</w:t>
      </w:r>
    </w:p>
    <w:p w:rsidR="00722C95" w:rsidRDefault="00722C95" w:rsidP="00722C95">
      <w:pPr>
        <w:rPr>
          <w:b/>
          <w:lang w:val="en-US"/>
        </w:rPr>
      </w:pPr>
      <w:r>
        <w:rPr>
          <w:b/>
          <w:lang w:val="en-US"/>
        </w:rPr>
        <w:t xml:space="preserve"> </w:t>
      </w:r>
      <w:r>
        <w:rPr>
          <w:b/>
          <w:lang w:val="en-US"/>
        </w:rPr>
        <w:tab/>
      </w:r>
    </w:p>
    <w:p w:rsidR="00722C95" w:rsidRDefault="00722C95" w:rsidP="00722C95">
      <w:pPr>
        <w:ind w:left="1304"/>
        <w:rPr>
          <w:rFonts w:ascii="Arial" w:eastAsia="Times New Roman" w:hAnsi="Arial" w:cs="Arial"/>
          <w:szCs w:val="20"/>
          <w:lang w:val="en-US" w:eastAsia="fi-FI"/>
        </w:rPr>
      </w:pPr>
      <w:r>
        <w:rPr>
          <w:rFonts w:ascii="Arial" w:eastAsia="Times New Roman" w:hAnsi="Arial" w:cs="Arial"/>
          <w:szCs w:val="20"/>
          <w:lang w:val="en-US" w:eastAsia="fi-FI"/>
        </w:rPr>
        <w:t xml:space="preserve">During the examination, you will lie on your back in the imaging tunnel.  Before the </w:t>
      </w:r>
      <w:proofErr w:type="gramStart"/>
      <w:r>
        <w:rPr>
          <w:rFonts w:ascii="Arial" w:eastAsia="Times New Roman" w:hAnsi="Arial" w:cs="Arial"/>
          <w:szCs w:val="20"/>
          <w:lang w:val="en-US" w:eastAsia="fi-FI"/>
        </w:rPr>
        <w:t>examination</w:t>
      </w:r>
      <w:proofErr w:type="gramEnd"/>
      <w:r>
        <w:rPr>
          <w:rFonts w:ascii="Arial" w:eastAsia="Times New Roman" w:hAnsi="Arial" w:cs="Arial"/>
          <w:szCs w:val="20"/>
          <w:lang w:val="en-US" w:eastAsia="fi-FI"/>
        </w:rPr>
        <w:t xml:space="preserve"> ultrasound gel will be inserted into your rectum. Some gel </w:t>
      </w:r>
      <w:proofErr w:type="gramStart"/>
      <w:r>
        <w:rPr>
          <w:rFonts w:ascii="Arial" w:eastAsia="Times New Roman" w:hAnsi="Arial" w:cs="Arial"/>
          <w:szCs w:val="20"/>
          <w:lang w:val="en-US" w:eastAsia="fi-FI"/>
        </w:rPr>
        <w:t>will also be applied</w:t>
      </w:r>
      <w:proofErr w:type="gramEnd"/>
      <w:r>
        <w:rPr>
          <w:rFonts w:ascii="Arial" w:eastAsia="Times New Roman" w:hAnsi="Arial" w:cs="Arial"/>
          <w:szCs w:val="20"/>
          <w:lang w:val="en-US" w:eastAsia="fi-FI"/>
        </w:rPr>
        <w:t xml:space="preserve"> in the vagina for female patients. Should you wish so, you can get diapers. If needed, a cannula </w:t>
      </w:r>
      <w:proofErr w:type="gramStart"/>
      <w:r>
        <w:rPr>
          <w:rFonts w:ascii="Arial" w:eastAsia="Times New Roman" w:hAnsi="Arial" w:cs="Arial"/>
          <w:szCs w:val="20"/>
          <w:lang w:val="en-US" w:eastAsia="fi-FI"/>
        </w:rPr>
        <w:t>will be inserted</w:t>
      </w:r>
      <w:proofErr w:type="gramEnd"/>
      <w:r>
        <w:rPr>
          <w:rFonts w:ascii="Arial" w:eastAsia="Times New Roman" w:hAnsi="Arial" w:cs="Arial"/>
          <w:szCs w:val="20"/>
          <w:lang w:val="en-US" w:eastAsia="fi-FI"/>
        </w:rPr>
        <w:t xml:space="preserve"> into a vein on your forearm for the intravenous contrast medium. You may also get medicine to reduce the intestinal movement. The contrast medium does not excrete into breast milk, but if the medicine to reduce the intestinal movement </w:t>
      </w:r>
      <w:proofErr w:type="gramStart"/>
      <w:r>
        <w:rPr>
          <w:rFonts w:ascii="Arial" w:eastAsia="Times New Roman" w:hAnsi="Arial" w:cs="Arial"/>
          <w:szCs w:val="20"/>
          <w:lang w:val="en-US" w:eastAsia="fi-FI"/>
        </w:rPr>
        <w:t>is given</w:t>
      </w:r>
      <w:proofErr w:type="gramEnd"/>
      <w:r>
        <w:rPr>
          <w:rFonts w:ascii="Arial" w:eastAsia="Times New Roman" w:hAnsi="Arial" w:cs="Arial"/>
          <w:szCs w:val="20"/>
          <w:lang w:val="en-US" w:eastAsia="fi-FI"/>
        </w:rPr>
        <w:t xml:space="preserve"> to you, you should prepare yourself to have a 10-hour break in breastfeeding. </w:t>
      </w:r>
    </w:p>
    <w:p w:rsidR="00722C95" w:rsidRDefault="00722C95" w:rsidP="00722C95">
      <w:pPr>
        <w:ind w:left="1304"/>
        <w:rPr>
          <w:rFonts w:ascii="Arial" w:eastAsia="Times New Roman" w:hAnsi="Arial" w:cs="Arial"/>
          <w:szCs w:val="20"/>
          <w:lang w:val="en-US" w:eastAsia="fi-FI"/>
        </w:rPr>
      </w:pPr>
    </w:p>
    <w:p w:rsidR="00722C95" w:rsidRDefault="00722C95" w:rsidP="00722C95">
      <w:pPr>
        <w:ind w:left="1304"/>
        <w:rPr>
          <w:rFonts w:ascii="Arial" w:eastAsia="Times New Roman" w:hAnsi="Arial" w:cs="Arial"/>
          <w:szCs w:val="20"/>
          <w:lang w:val="en-US" w:eastAsia="fi-FI"/>
        </w:rPr>
      </w:pPr>
      <w:r>
        <w:rPr>
          <w:rFonts w:ascii="Arial" w:eastAsia="Times New Roman" w:hAnsi="Arial" w:cs="Arial"/>
          <w:szCs w:val="20"/>
          <w:lang w:val="en-US" w:eastAsia="fi-FI"/>
        </w:rPr>
        <w:t xml:space="preserve">You should stay completely still during the examination. You </w:t>
      </w:r>
      <w:proofErr w:type="gramStart"/>
      <w:r>
        <w:rPr>
          <w:rFonts w:ascii="Arial" w:eastAsia="Times New Roman" w:hAnsi="Arial" w:cs="Arial"/>
          <w:szCs w:val="20"/>
          <w:lang w:val="en-US" w:eastAsia="fi-FI"/>
        </w:rPr>
        <w:t>may be given</w:t>
      </w:r>
      <w:proofErr w:type="gramEnd"/>
      <w:r>
        <w:rPr>
          <w:rFonts w:ascii="Arial" w:eastAsia="Times New Roman" w:hAnsi="Arial" w:cs="Arial"/>
          <w:szCs w:val="20"/>
          <w:lang w:val="en-US" w:eastAsia="fi-FI"/>
        </w:rPr>
        <w:t xml:space="preserve"> breathing instructions via the hearing protectors, from which you can also listen to music.</w:t>
      </w:r>
      <w:r>
        <w:rPr>
          <w:lang w:val="en-US"/>
        </w:rPr>
        <w:t xml:space="preserve"> </w:t>
      </w:r>
      <w:r>
        <w:rPr>
          <w:rFonts w:ascii="Arial" w:eastAsia="Times New Roman" w:hAnsi="Arial" w:cs="Arial"/>
          <w:szCs w:val="20"/>
          <w:lang w:val="en-US" w:eastAsia="fi-FI"/>
        </w:rPr>
        <w:t>The examination takes about 30-60 minutes. After the examination, you can go to the toilet to wash up.</w:t>
      </w:r>
    </w:p>
    <w:p w:rsidR="00722C95" w:rsidRDefault="00722C95" w:rsidP="00722C95">
      <w:pPr>
        <w:ind w:left="1304"/>
        <w:rPr>
          <w:rFonts w:ascii="Arial" w:eastAsia="Times New Roman" w:hAnsi="Arial" w:cs="Arial"/>
          <w:szCs w:val="20"/>
          <w:lang w:val="en-US" w:eastAsia="fi-FI"/>
        </w:rPr>
      </w:pPr>
    </w:p>
    <w:p w:rsidR="00722C95" w:rsidRDefault="00722C95" w:rsidP="00722C95">
      <w:pPr>
        <w:rPr>
          <w:rFonts w:ascii="Arial" w:eastAsia="Times New Roman" w:hAnsi="Arial" w:cs="Arial"/>
          <w:szCs w:val="20"/>
          <w:lang w:val="en-US" w:eastAsia="fi-FI"/>
        </w:rPr>
      </w:pPr>
    </w:p>
    <w:p w:rsidR="00722C95" w:rsidRDefault="00722C95" w:rsidP="00722C95">
      <w:pPr>
        <w:rPr>
          <w:rFonts w:ascii="Arial" w:eastAsia="Times New Roman" w:hAnsi="Arial" w:cs="Arial"/>
          <w:b/>
          <w:szCs w:val="20"/>
          <w:lang w:val="en-US" w:eastAsia="fi-FI"/>
        </w:rPr>
      </w:pPr>
      <w:r>
        <w:rPr>
          <w:rFonts w:ascii="Arial" w:eastAsia="Times New Roman" w:hAnsi="Arial" w:cs="Arial"/>
          <w:b/>
          <w:szCs w:val="20"/>
          <w:lang w:val="en-US" w:eastAsia="fi-FI"/>
        </w:rPr>
        <w:t>NON-GYNECOLOGICAL EXAMINATION</w:t>
      </w:r>
    </w:p>
    <w:p w:rsidR="00722C95" w:rsidRDefault="00722C95" w:rsidP="00722C95">
      <w:pPr>
        <w:rPr>
          <w:rFonts w:ascii="Arial" w:eastAsia="Times New Roman" w:hAnsi="Arial" w:cs="Arial"/>
          <w:b/>
          <w:szCs w:val="20"/>
          <w:lang w:val="en-US" w:eastAsia="fi-FI"/>
        </w:rPr>
      </w:pPr>
    </w:p>
    <w:p w:rsidR="00722C95" w:rsidRDefault="00722C95" w:rsidP="00722C95">
      <w:pPr>
        <w:rPr>
          <w:b/>
          <w:lang w:val="en-US"/>
        </w:rPr>
      </w:pPr>
      <w:r>
        <w:rPr>
          <w:b/>
          <w:lang w:val="en-US"/>
        </w:rPr>
        <w:t>PREPARATION FOR THE EXAMINATION</w:t>
      </w:r>
    </w:p>
    <w:p w:rsidR="00722C95" w:rsidRDefault="00722C95" w:rsidP="00722C95">
      <w:pPr>
        <w:rPr>
          <w:lang w:val="en-US"/>
        </w:rPr>
      </w:pPr>
    </w:p>
    <w:p w:rsidR="00722C95" w:rsidRDefault="00722C95" w:rsidP="00722C95">
      <w:pPr>
        <w:ind w:left="1304" w:firstLine="1"/>
        <w:rPr>
          <w:lang w:val="en-US"/>
        </w:rPr>
      </w:pPr>
      <w:r>
        <w:rPr>
          <w:lang w:val="en-US"/>
        </w:rPr>
        <w:t>You can eat and drink normally. You can also take your medication normally. For the bladder not to be completely empty, do not urinate for one hour before the examination.</w:t>
      </w:r>
    </w:p>
    <w:p w:rsidR="00722C95" w:rsidRDefault="00722C95" w:rsidP="00722C95">
      <w:pPr>
        <w:ind w:left="1304" w:firstLine="1"/>
        <w:rPr>
          <w:lang w:val="en-US"/>
        </w:rPr>
      </w:pPr>
    </w:p>
    <w:p w:rsidR="00722C95" w:rsidRDefault="00722C95" w:rsidP="00722C95">
      <w:pPr>
        <w:rPr>
          <w:b/>
          <w:lang w:val="en-US"/>
        </w:rPr>
      </w:pPr>
      <w:r>
        <w:rPr>
          <w:b/>
          <w:lang w:val="en-US"/>
        </w:rPr>
        <w:t xml:space="preserve">EXAMINATION </w:t>
      </w:r>
    </w:p>
    <w:p w:rsidR="00722C95" w:rsidRDefault="00722C95" w:rsidP="00722C95">
      <w:pPr>
        <w:rPr>
          <w:b/>
          <w:lang w:val="en-US"/>
        </w:rPr>
      </w:pPr>
      <w:r>
        <w:rPr>
          <w:b/>
          <w:lang w:val="en-US"/>
        </w:rPr>
        <w:tab/>
      </w:r>
    </w:p>
    <w:p w:rsidR="00722C95" w:rsidRDefault="00722C95" w:rsidP="00722C95">
      <w:pPr>
        <w:ind w:left="1304" w:firstLine="1"/>
        <w:rPr>
          <w:rFonts w:ascii="Arial" w:eastAsia="Times New Roman" w:hAnsi="Arial" w:cs="Arial"/>
          <w:szCs w:val="20"/>
          <w:lang w:val="en-US" w:eastAsia="fi-FI"/>
        </w:rPr>
      </w:pPr>
      <w:r>
        <w:rPr>
          <w:rFonts w:ascii="Arial" w:eastAsia="Times New Roman" w:hAnsi="Arial" w:cs="Arial"/>
          <w:szCs w:val="20"/>
          <w:lang w:val="en-US" w:eastAsia="fi-FI"/>
        </w:rPr>
        <w:t xml:space="preserve">During the examination, you will lie on your back in the imaging tunnel. If needed, a cannula </w:t>
      </w:r>
      <w:proofErr w:type="gramStart"/>
      <w:r>
        <w:rPr>
          <w:rFonts w:ascii="Arial" w:eastAsia="Times New Roman" w:hAnsi="Arial" w:cs="Arial"/>
          <w:szCs w:val="20"/>
          <w:lang w:val="en-US" w:eastAsia="fi-FI"/>
        </w:rPr>
        <w:t>will be inserted</w:t>
      </w:r>
      <w:proofErr w:type="gramEnd"/>
      <w:r>
        <w:rPr>
          <w:rFonts w:ascii="Arial" w:eastAsia="Times New Roman" w:hAnsi="Arial" w:cs="Arial"/>
          <w:szCs w:val="20"/>
          <w:lang w:val="en-US" w:eastAsia="fi-FI"/>
        </w:rPr>
        <w:t xml:space="preserve"> into a vein on your forearm for the intravenous contrast medium. You can listen to music during the examination. The examination takes about 30 minutes.</w:t>
      </w:r>
    </w:p>
    <w:p w:rsidR="00722C95" w:rsidRDefault="00722C95" w:rsidP="00722C95">
      <w:pPr>
        <w:ind w:left="1304" w:firstLine="1"/>
        <w:rPr>
          <w:rFonts w:ascii="Arial" w:eastAsia="Times New Roman" w:hAnsi="Arial" w:cs="Arial"/>
          <w:szCs w:val="20"/>
          <w:lang w:val="en-US" w:eastAsia="fi-FI"/>
        </w:rPr>
      </w:pPr>
    </w:p>
    <w:p w:rsidR="00722C95" w:rsidRDefault="00722C95" w:rsidP="00722C95">
      <w:pPr>
        <w:rPr>
          <w:rFonts w:ascii="Arial" w:eastAsia="Times New Roman" w:hAnsi="Arial" w:cs="Arial"/>
          <w:b/>
          <w:szCs w:val="20"/>
          <w:lang w:val="en-US" w:eastAsia="fi-FI"/>
        </w:rPr>
      </w:pPr>
      <w:r>
        <w:rPr>
          <w:rFonts w:ascii="Arial" w:eastAsia="Times New Roman" w:hAnsi="Arial" w:cs="Arial"/>
          <w:b/>
          <w:szCs w:val="20"/>
          <w:lang w:val="en-US" w:eastAsia="fi-FI"/>
        </w:rPr>
        <w:t>AFTER THE EXAMINATION</w:t>
      </w:r>
    </w:p>
    <w:p w:rsidR="00722C95" w:rsidRDefault="00722C95" w:rsidP="00722C95">
      <w:pPr>
        <w:rPr>
          <w:rFonts w:ascii="Arial" w:eastAsia="Times New Roman" w:hAnsi="Arial" w:cs="Arial"/>
          <w:b/>
          <w:szCs w:val="20"/>
          <w:lang w:val="en-US" w:eastAsia="fi-FI"/>
        </w:rPr>
      </w:pPr>
      <w:r>
        <w:rPr>
          <w:rFonts w:ascii="Arial" w:eastAsia="Times New Roman" w:hAnsi="Arial" w:cs="Arial"/>
          <w:b/>
          <w:szCs w:val="20"/>
          <w:lang w:val="en-US" w:eastAsia="fi-FI"/>
        </w:rPr>
        <w:tab/>
      </w:r>
    </w:p>
    <w:p w:rsidR="00722C95" w:rsidRDefault="00722C95" w:rsidP="00722C95">
      <w:pPr>
        <w:rPr>
          <w:rFonts w:ascii="Arial" w:eastAsia="Times New Roman" w:hAnsi="Arial" w:cs="Arial"/>
          <w:szCs w:val="20"/>
          <w:lang w:val="en-US" w:eastAsia="fi-FI"/>
        </w:rPr>
      </w:pPr>
      <w:r>
        <w:rPr>
          <w:rFonts w:ascii="Arial" w:eastAsia="Times New Roman" w:hAnsi="Arial" w:cs="Arial"/>
          <w:b/>
          <w:szCs w:val="20"/>
          <w:lang w:val="en-US" w:eastAsia="fi-FI"/>
        </w:rPr>
        <w:tab/>
      </w:r>
      <w:r>
        <w:rPr>
          <w:rFonts w:ascii="Arial" w:eastAsia="Times New Roman" w:hAnsi="Arial" w:cs="Arial"/>
          <w:szCs w:val="20"/>
          <w:lang w:val="en-US" w:eastAsia="fi-FI"/>
        </w:rPr>
        <w:t>When the examination is completed, you are free to go home.</w:t>
      </w:r>
    </w:p>
    <w:p w:rsidR="00722C95" w:rsidRDefault="00722C95" w:rsidP="00722C95">
      <w:pPr>
        <w:rPr>
          <w:rFonts w:ascii="Arial" w:eastAsia="Times New Roman" w:hAnsi="Arial" w:cs="Arial"/>
          <w:szCs w:val="20"/>
          <w:lang w:val="en-US" w:eastAsia="fi-FI"/>
        </w:rPr>
      </w:pPr>
    </w:p>
    <w:p w:rsidR="00722C95" w:rsidRDefault="00722C95" w:rsidP="00722C95">
      <w:pPr>
        <w:rPr>
          <w:rFonts w:ascii="Arial" w:eastAsia="Times New Roman" w:hAnsi="Arial" w:cs="Arial"/>
          <w:szCs w:val="20"/>
          <w:lang w:val="en-US" w:eastAsia="fi-FI"/>
        </w:rPr>
      </w:pPr>
    </w:p>
    <w:p w:rsidR="00722C95" w:rsidRDefault="00722C95" w:rsidP="00722C95">
      <w:pPr>
        <w:rPr>
          <w:rFonts w:ascii="Arial" w:eastAsia="Times New Roman" w:hAnsi="Arial" w:cs="Arial"/>
          <w:b/>
          <w:szCs w:val="20"/>
          <w:lang w:val="en-US" w:eastAsia="fi-FI"/>
        </w:rPr>
      </w:pPr>
      <w:r>
        <w:rPr>
          <w:rFonts w:ascii="Arial" w:eastAsia="Times New Roman" w:hAnsi="Arial" w:cs="Arial"/>
          <w:b/>
          <w:szCs w:val="20"/>
          <w:lang w:val="en-US" w:eastAsia="fi-FI"/>
        </w:rPr>
        <w:lastRenderedPageBreak/>
        <w:t>CONTACT INFORMATION</w:t>
      </w:r>
    </w:p>
    <w:p w:rsidR="00722C95" w:rsidRDefault="00722C95" w:rsidP="00722C95">
      <w:pPr>
        <w:rPr>
          <w:rFonts w:ascii="Arial" w:eastAsia="Times New Roman" w:hAnsi="Arial" w:cs="Arial"/>
          <w:b/>
          <w:szCs w:val="20"/>
          <w:lang w:val="en-US" w:eastAsia="fi-FI"/>
        </w:rPr>
      </w:pPr>
    </w:p>
    <w:p w:rsidR="00722C95" w:rsidRDefault="00722C95" w:rsidP="00722C95">
      <w:pPr>
        <w:ind w:left="1304"/>
        <w:rPr>
          <w:rFonts w:ascii="Arial" w:hAnsi="Arial" w:cs="Arial"/>
          <w:lang w:val="en-US"/>
        </w:rPr>
      </w:pPr>
      <w:r>
        <w:rPr>
          <w:rFonts w:ascii="Arial" w:hAnsi="Arial" w:cs="Arial"/>
          <w:lang w:val="en-US"/>
        </w:rPr>
        <w:t xml:space="preserve">Please contact us (x-ray </w:t>
      </w:r>
      <w:proofErr w:type="gramStart"/>
      <w:r>
        <w:rPr>
          <w:rFonts w:ascii="Arial" w:hAnsi="Arial" w:cs="Arial"/>
          <w:lang w:val="en-US"/>
        </w:rPr>
        <w:t>2</w:t>
      </w:r>
      <w:proofErr w:type="gramEnd"/>
      <w:r w:rsidR="002033D6">
        <w:rPr>
          <w:rFonts w:ascii="Arial" w:hAnsi="Arial" w:cs="Arial"/>
          <w:lang w:val="en-US"/>
        </w:rPr>
        <w:t xml:space="preserve"> </w:t>
      </w:r>
      <w:bookmarkStart w:id="0" w:name="_GoBack"/>
      <w:r w:rsidR="002033D6">
        <w:rPr>
          <w:rFonts w:ascii="Arial" w:hAnsi="Arial" w:cs="Arial"/>
          <w:lang w:val="en-US"/>
        </w:rPr>
        <w:t>GSM 044-711 3338</w:t>
      </w:r>
      <w:bookmarkEnd w:id="0"/>
      <w:r>
        <w:rPr>
          <w:rFonts w:ascii="Arial" w:hAnsi="Arial" w:cs="Arial"/>
          <w:lang w:val="en-US"/>
        </w:rPr>
        <w:t>, mon-</w:t>
      </w:r>
      <w:proofErr w:type="spellStart"/>
      <w:r>
        <w:rPr>
          <w:rFonts w:ascii="Arial" w:hAnsi="Arial" w:cs="Arial"/>
          <w:lang w:val="en-US"/>
        </w:rPr>
        <w:t>fri</w:t>
      </w:r>
      <w:proofErr w:type="spellEnd"/>
      <w:r>
        <w:rPr>
          <w:rFonts w:ascii="Arial" w:hAnsi="Arial" w:cs="Arial"/>
          <w:lang w:val="en-US"/>
        </w:rPr>
        <w:t xml:space="preserve"> 8 a.m. - 2.30 p.m.) if you know that you are or you suspect to be pregnant or if you have any questions about the examination.</w:t>
      </w:r>
      <w:r>
        <w:rPr>
          <w:lang w:val="en-US"/>
        </w:rPr>
        <w:t xml:space="preserve"> </w:t>
      </w:r>
    </w:p>
    <w:p w:rsidR="009B4A3D" w:rsidRPr="00722C95" w:rsidRDefault="009B4A3D" w:rsidP="009B4A3D">
      <w:pPr>
        <w:pStyle w:val="KappaleC1"/>
        <w:rPr>
          <w:lang w:val="en-US"/>
        </w:rPr>
      </w:pPr>
    </w:p>
    <w:sectPr w:rsidR="009B4A3D" w:rsidRPr="00722C95" w:rsidSect="009B4A3D">
      <w:headerReference w:type="even" r:id="rId12"/>
      <w:headerReference w:type="default" r:id="rId13"/>
      <w:footerReference w:type="even" r:id="rId14"/>
      <w:footerReference w:type="default" r:id="rId15"/>
      <w:headerReference w:type="first" r:id="rId16"/>
      <w:footerReference w:type="first" r:id="rId17"/>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F2F" w:rsidRDefault="00030F2F" w:rsidP="004E5121">
      <w:r>
        <w:separator/>
      </w:r>
    </w:p>
    <w:p w:rsidR="00030F2F" w:rsidRDefault="00030F2F"/>
    <w:p w:rsidR="00030F2F" w:rsidRDefault="00030F2F"/>
  </w:endnote>
  <w:endnote w:type="continuationSeparator" w:id="0">
    <w:p w:rsidR="00030F2F" w:rsidRDefault="00030F2F" w:rsidP="004E5121">
      <w:r>
        <w:continuationSeparator/>
      </w:r>
    </w:p>
    <w:p w:rsidR="00030F2F" w:rsidRDefault="00030F2F"/>
    <w:p w:rsidR="00030F2F" w:rsidRDefault="00030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Default="00AD58EC" w:rsidP="00AD58EC"/>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rsidTr="001318C0">
      <w:trPr>
        <w:trHeight w:val="203"/>
      </w:trPr>
      <w:tc>
        <w:tcPr>
          <w:tcW w:w="10496" w:type="dxa"/>
          <w:gridSpan w:val="7"/>
          <w:vAlign w:val="bottom"/>
        </w:tcPr>
        <w:p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rsidTr="001318C0">
      <w:trPr>
        <w:trHeight w:val="203"/>
      </w:trPr>
      <w:tc>
        <w:tcPr>
          <w:tcW w:w="1499" w:type="dxa"/>
          <w:vAlign w:val="bottom"/>
        </w:tcPr>
        <w:p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rsidTr="001318C0">
      <w:trPr>
        <w:trHeight w:val="306"/>
      </w:trPr>
      <w:tc>
        <w:tcPr>
          <w:tcW w:w="1499" w:type="dxa"/>
          <w:hideMark/>
        </w:tcPr>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AD58EC" w:rsidRDefault="00AD58EC" w:rsidP="001318C0">
          <w:pPr>
            <w:tabs>
              <w:tab w:val="left" w:pos="1701"/>
              <w:tab w:val="left" w:pos="3402"/>
              <w:tab w:val="center" w:pos="4513"/>
              <w:tab w:val="left" w:pos="5103"/>
              <w:tab w:val="left" w:pos="6804"/>
              <w:tab w:val="right" w:pos="9026"/>
            </w:tabs>
            <w:rPr>
              <w:sz w:val="12"/>
              <w:szCs w:val="16"/>
            </w:rPr>
          </w:pPr>
          <w:proofErr w:type="spellStart"/>
          <w:r>
            <w:rPr>
              <w:sz w:val="12"/>
              <w:szCs w:val="16"/>
            </w:rPr>
            <w:t>Puijonlaaksontie</w:t>
          </w:r>
          <w:proofErr w:type="spellEnd"/>
          <w:r>
            <w:rPr>
              <w:sz w:val="12"/>
              <w:szCs w:val="16"/>
            </w:rPr>
            <w:t xml:space="preserve"> 2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rsidR="00AD58EC" w:rsidRDefault="00AD58EC" w:rsidP="001318C0">
          <w:pPr>
            <w:tabs>
              <w:tab w:val="left" w:pos="1209"/>
            </w:tabs>
            <w:ind w:left="72"/>
            <w:rPr>
              <w:sz w:val="12"/>
              <w:szCs w:val="16"/>
            </w:rPr>
          </w:pPr>
          <w:r>
            <w:rPr>
              <w:sz w:val="12"/>
              <w:szCs w:val="16"/>
            </w:rPr>
            <w:t>PL 100</w:t>
          </w:r>
          <w:r>
            <w:rPr>
              <w:sz w:val="12"/>
              <w:szCs w:val="16"/>
            </w:rPr>
            <w:tab/>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33"/>
            <w:rPr>
              <w:sz w:val="12"/>
              <w:szCs w:val="16"/>
            </w:rPr>
          </w:pPr>
          <w:proofErr w:type="spellStart"/>
          <w:r>
            <w:rPr>
              <w:sz w:val="12"/>
              <w:szCs w:val="16"/>
            </w:rPr>
            <w:t>Puijonsarventie</w:t>
          </w:r>
          <w:proofErr w:type="spellEnd"/>
          <w:r>
            <w:rPr>
              <w:sz w:val="12"/>
              <w:szCs w:val="16"/>
            </w:rPr>
            <w:t xml:space="preserve"> 60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07B1383C" wp14:editId="34C71377">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2"/>
              <w:szCs w:val="16"/>
            </w:rPr>
            <w:t>Kotkankallionkatu 14</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9B4A3D" w:rsidRPr="00AD58EC" w:rsidRDefault="009B4A3D" w:rsidP="00AD58E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F2F" w:rsidRDefault="00030F2F" w:rsidP="004E5121">
      <w:r>
        <w:separator/>
      </w:r>
    </w:p>
    <w:p w:rsidR="00030F2F" w:rsidRDefault="00030F2F"/>
    <w:p w:rsidR="00030F2F" w:rsidRDefault="00030F2F"/>
  </w:footnote>
  <w:footnote w:type="continuationSeparator" w:id="0">
    <w:p w:rsidR="00030F2F" w:rsidRDefault="00030F2F" w:rsidP="004E5121">
      <w:r>
        <w:continuationSeparator/>
      </w:r>
    </w:p>
    <w:p w:rsidR="00030F2F" w:rsidRDefault="00030F2F"/>
    <w:p w:rsidR="00030F2F" w:rsidRDefault="00030F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2354"/>
      <w:gridCol w:w="1184"/>
      <w:gridCol w:w="1179"/>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752" behindDoc="0" locked="0" layoutInCell="1" allowOverlap="1" wp14:anchorId="67C76254" wp14:editId="67142FF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proofErr w:type="spellStart"/>
          <w:r w:rsidRPr="00062A89">
            <w:rPr>
              <w:rFonts w:ascii="Arial" w:hAnsi="Arial" w:cs="Arial"/>
              <w:b/>
            </w:rPr>
            <w:t>Pohjois</w:t>
          </w:r>
          <w:proofErr w:type="spellEnd"/>
          <w:r w:rsidRPr="00062A89">
            <w:rPr>
              <w:rFonts w:ascii="Arial" w:hAnsi="Arial" w:cs="Arial"/>
              <w:b/>
            </w:rPr>
            <w:t>-Savon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722C95"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2033D6">
            <w:rPr>
              <w:rFonts w:ascii="Arial" w:hAnsi="Arial" w:cs="Arial"/>
              <w:noProof/>
            </w:rPr>
            <w:t>1</w:t>
          </w:r>
          <w:r w:rsidRPr="00EE5146">
            <w:rPr>
              <w:rFonts w:ascii="Arial" w:hAnsi="Arial" w:cs="Arial"/>
            </w:rPr>
            <w:fldChar w:fldCharType="end"/>
          </w:r>
          <w:r>
            <w:rPr>
              <w:rFonts w:ascii="Arial" w:hAnsi="Arial" w:cs="Arial"/>
            </w:rPr>
            <w:t xml:space="preserve"> (</w:t>
          </w:r>
          <w:r w:rsidR="002033D6">
            <w:fldChar w:fldCharType="begin"/>
          </w:r>
          <w:r w:rsidR="002033D6">
            <w:instrText>NUMPAGES  \* Arabic  \* MERGEFORMAT</w:instrText>
          </w:r>
          <w:r w:rsidR="002033D6">
            <w:fldChar w:fldCharType="separate"/>
          </w:r>
          <w:r w:rsidR="002033D6" w:rsidRPr="002033D6">
            <w:rPr>
              <w:rFonts w:ascii="Arial" w:hAnsi="Arial" w:cs="Arial"/>
              <w:noProof/>
            </w:rPr>
            <w:t>2</w:t>
          </w:r>
          <w:r w:rsidR="002033D6">
            <w:rPr>
              <w:rFonts w:ascii="Arial" w:hAnsi="Arial" w:cs="Arial"/>
              <w:noProof/>
            </w:rPr>
            <w:fldChar w:fldCharType="end"/>
          </w:r>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722C95" w:rsidP="00C25FBA">
              <w:pPr>
                <w:rPr>
                  <w:rFonts w:ascii="Arial" w:hAnsi="Arial" w:cs="Arial"/>
                </w:rPr>
              </w:pPr>
              <w:r>
                <w:rPr>
                  <w:rFonts w:ascii="Arial" w:hAnsi="Arial" w:cs="Arial"/>
                </w:rPr>
                <w:t>OHJE-2017-00264</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722C95" w:rsidP="00062A89">
              <w:pPr>
                <w:rPr>
                  <w:rFonts w:ascii="Arial" w:hAnsi="Arial" w:cs="Arial"/>
                </w:rPr>
              </w:pPr>
              <w:r>
                <w:rPr>
                  <w:rFonts w:ascii="Arial" w:hAnsi="Arial" w:cs="Arial"/>
                </w:rPr>
                <w:t>00.01.01.02.03</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722C95" w:rsidP="00F71322">
              <w:pPr>
                <w:rPr>
                  <w:rFonts w:ascii="Arial" w:hAnsi="Arial" w:cs="Arial"/>
                </w:rPr>
              </w:pPr>
              <w:r>
                <w:rPr>
                  <w:rFonts w:ascii="Arial" w:hAnsi="Arial" w:cs="Arial"/>
                </w:rPr>
                <w:t>Kliininen radiologia</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2033D6">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2033D6">
            <w:rPr>
              <w:rFonts w:ascii="Arial" w:hAnsi="Arial" w:cs="Arial"/>
              <w:noProof/>
            </w:rPr>
            <w:instrText>14.10.2019</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2033D6">
            <w:rPr>
              <w:rFonts w:ascii="Arial" w:hAnsi="Arial" w:cs="Arial"/>
              <w:noProof/>
            </w:rPr>
            <w:t>14.10.2019</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2F5B69">
                <w:rPr>
                  <w:rFonts w:ascii="Arial" w:hAnsi="Arial" w:cs="Arial"/>
                </w:rPr>
                <w:t>02</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8D0E02"/>
    <w:multiLevelType w:val="multilevel"/>
    <w:tmpl w:val="8E10770E"/>
    <w:numStyleLink w:val="IstmerkittyluetteloC1"/>
  </w:abstractNum>
  <w:abstractNum w:abstractNumId="6"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3D6"/>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5B69"/>
    <w:rsid w:val="002F6C84"/>
    <w:rsid w:val="00334216"/>
    <w:rsid w:val="00346D6A"/>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22C95"/>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9BA8C3"/>
  <w15:docId w15:val="{9E4FD053-E0A4-4BBE-9913-63C043F6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712539552">
      <w:bodyDiv w:val="1"/>
      <w:marLeft w:val="0"/>
      <w:marRight w:val="0"/>
      <w:marTop w:val="0"/>
      <w:marBottom w:val="0"/>
      <w:divBdr>
        <w:top w:val="none" w:sz="0" w:space="0" w:color="auto"/>
        <w:left w:val="none" w:sz="0" w:space="0" w:color="auto"/>
        <w:bottom w:val="none" w:sz="0" w:space="0" w:color="auto"/>
        <w:right w:val="none" w:sz="0" w:space="0" w:color="auto"/>
      </w:divBdr>
      <w:divsChild>
        <w:div w:id="756169516">
          <w:marLeft w:val="0"/>
          <w:marRight w:val="0"/>
          <w:marTop w:val="0"/>
          <w:marBottom w:val="0"/>
          <w:divBdr>
            <w:top w:val="single" w:sz="6" w:space="0" w:color="979797"/>
            <w:left w:val="single" w:sz="6" w:space="0" w:color="979797"/>
            <w:bottom w:val="single" w:sz="6" w:space="0" w:color="979797"/>
            <w:right w:val="single" w:sz="6" w:space="0" w:color="979797"/>
          </w:divBdr>
        </w:div>
      </w:divsChild>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 w:id="1801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383B6A"/>
    <w:rsid w:val="00726927"/>
    <w:rsid w:val="00871327"/>
    <w:rsid w:val="00897735"/>
    <w:rsid w:val="00913F3E"/>
    <w:rsid w:val="00965A53"/>
    <w:rsid w:val="00986E4C"/>
    <w:rsid w:val="00C06E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gbs:GrowBusinessDocument xmlns:gbs="http://www.software-innovation.no/growBusinessDocument" gbs:officeVersion="2007" gbs:sourceId="267991"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OHJE-2017-00264</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MRI examination of the lower abdomen</gbs:Title>
  <gbs:CF_instructiondescription gbs:loadFromGrowBusiness="OnEdit" gbs:saveInGrowBusiness="False" gbs:connected="true" gbs:recno="" gbs:entity="" gbs:datatype="note" gbs:key="10004" gbs:removeContentControl="0">MRI examination of the lower abdomen, gynecological examinations, non-gynecological examination</gbs:CF_instructiondescription>
  <gbs:ToActivityContactJOINEX.Name gbs:loadFromGrowBusiness="OnProduce" gbs:saveInGrowBusiness="False" gbs:connected="true" gbs:recno="" gbs:entity="" gbs:datatype="string" gbs:key="10005" gbs:removeContentControl="0" gbs:joinex="[JOINEX=[ToRole] {!OJEX!}=100008]">Kliininen radiologia</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02</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3.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4.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5.xml><?xml version="1.0" encoding="utf-8"?>
<ds:datastoreItem xmlns:ds="http://schemas.openxmlformats.org/officeDocument/2006/customXml" ds:itemID="{369F2169-BE92-49C5-9058-7E5177F5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1903</Characters>
  <Application>Microsoft Office Word</Application>
  <DocSecurity>0</DocSecurity>
  <Lines>15</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Kulhomäki Anne-Mari</dc:creator>
  <dc:description>Doha ohjemalli 18.2.2013</dc:description>
  <cp:lastModifiedBy>Kulhomäki Anne-Mari</cp:lastModifiedBy>
  <cp:revision>3</cp:revision>
  <cp:lastPrinted>2013-09-13T06:29:00Z</cp:lastPrinted>
  <dcterms:created xsi:type="dcterms:W3CDTF">2019-10-14T07:59:00Z</dcterms:created>
  <dcterms:modified xsi:type="dcterms:W3CDTF">2019-10-14T08:00:00Z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\\shp\dfs\D360\Tuotanto\D360_DocProd\docprod\templates\ohjemalli_potilasohje_v28.dotx</vt:lpwstr>
  </property>
  <property fmtid="{D5CDD505-2E9C-101B-9397-08002B2CF9AE}" pid="4" name="filePathOneNote">
    <vt:lpwstr>\\shp\dfs\D360\Tuotanto\D360_Work\onenote\shp\annemari\</vt:lpwstr>
  </property>
  <property fmtid="{D5CDD505-2E9C-101B-9397-08002B2CF9AE}" pid="5" name="comment">
    <vt:lpwstr>MRI examination of the lower abdomen</vt:lpwstr>
  </property>
  <property fmtid="{D5CDD505-2E9C-101B-9397-08002B2CF9AE}" pid="6" name="docId">
    <vt:lpwstr>267991</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Kulhomäki Anne-Mari</vt:lpwstr>
  </property>
  <property fmtid="{D5CDD505-2E9C-101B-9397-08002B2CF9AE}" pid="15" name="modifiedBy">
    <vt:lpwstr>Kulhomäki Anne-Mari</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297952</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361273</vt:lpwstr>
  </property>
  <property fmtid="{D5CDD505-2E9C-101B-9397-08002B2CF9AE}" pid="26" name="VerID">
    <vt:lpwstr>0</vt:lpwstr>
  </property>
  <property fmtid="{D5CDD505-2E9C-101B-9397-08002B2CF9AE}" pid="27" name="FilePath">
    <vt:lpwstr>\\Z10099\D360_Work_tuotanto\work\shp\annemari</vt:lpwstr>
  </property>
  <property fmtid="{D5CDD505-2E9C-101B-9397-08002B2CF9AE}" pid="28" name="FileName">
    <vt:lpwstr>OHJE-2017-00264 MRI examination of the lower abdomen 361273_297952_0.DOCX</vt:lpwstr>
  </property>
  <property fmtid="{D5CDD505-2E9C-101B-9397-08002B2CF9AE}" pid="29" name="FullFileName">
    <vt:lpwstr>\\Z10099\D360_Work_tuotanto\work\shp\annemari\OHJE-2017-00264 MRI examination of the lower abdomen 361273_297952_0.DOCX</vt:lpwstr>
  </property>
</Properties>
</file>