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5138F9" w:rsidP="002D7B59">
          <w:pPr>
            <w:pStyle w:val="Otsikko10"/>
            <w:rPr>
              <w:lang w:val="en-US"/>
            </w:rPr>
          </w:pPr>
          <w:r>
            <w:t>Selkäydinkanavan varjoainetutkimus (myelografia)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5138F9" w:rsidP="00871A83">
                <w:r>
                  <w:t>Kaularangan tai lannerangan alueelle tehtävä selkäydinkanavan varjoainetutkimus</w:t>
                </w:r>
              </w:p>
            </w:sdtContent>
          </w:sdt>
        </w:tc>
      </w:tr>
    </w:tbl>
    <w:p w:rsidR="00871A83" w:rsidRDefault="00871A83" w:rsidP="00871A83"/>
    <w:p w:rsidR="005138F9" w:rsidRDefault="005138F9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5138F9" w:rsidRDefault="005138F9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5138F9" w:rsidRPr="007C02C4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Toimenpidettä varten tulette sovitusti vuodeosastolle.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Ennen toimenpidettä teidän tulee olla ravinnotta kaksi (2) tuntia. Juokaa vettä ja mehua, ettette ole janoinen ja kuiva.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Ilmoittakaa vähintään kaksi päivää ennen toimenpiteeseen tuloa, jos teillä on varjoaine- tai puuduteyliherkkyys, tai jos tiedätte, tai epäilette olevanne raskaana.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Teistä voidaan ottaa verikokeita ennen toimenpidettä tai toimenpidepäivän aamuna. Käykää tarvittaessa verikokeessa ajanvarauskirjeen ohjeen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mukaisesti.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</w:p>
    <w:p w:rsidR="005138F9" w:rsidRPr="007C02C4" w:rsidRDefault="005138F9" w:rsidP="005138F9">
      <w:pPr>
        <w:ind w:left="1368" w:hanging="1368"/>
      </w:pPr>
      <w:r w:rsidRPr="007C02C4">
        <w:rPr>
          <w:b/>
        </w:rPr>
        <w:t>LÄÄKKEET</w:t>
      </w:r>
      <w:r w:rsidRPr="007C02C4">
        <w:tab/>
      </w:r>
    </w:p>
    <w:p w:rsidR="005138F9" w:rsidRPr="007C02C4" w:rsidRDefault="005138F9" w:rsidP="005138F9">
      <w:pPr>
        <w:ind w:left="1368" w:hanging="1368"/>
      </w:pPr>
    </w:p>
    <w:p w:rsidR="005138F9" w:rsidRDefault="005138F9" w:rsidP="005138F9">
      <w:pPr>
        <w:ind w:left="2608" w:firstLine="1"/>
      </w:pPr>
      <w:r w:rsidRPr="007C02C4">
        <w:t>Lääkärin määräämät lääkkeet voitte pääsääntöisesti ottaa.</w:t>
      </w:r>
      <w:r w:rsidRPr="007C02C4">
        <w:br/>
      </w:r>
    </w:p>
    <w:p w:rsidR="005138F9" w:rsidRPr="007C02C4" w:rsidRDefault="005138F9" w:rsidP="005138F9">
      <w:pPr>
        <w:ind w:left="2608" w:firstLine="1"/>
      </w:pPr>
      <w:r w:rsidRPr="007C02C4">
        <w:t>Jos teillä on kuitenkin käytössä joku verisuonitukosten hoitoon tai ehkä</w:t>
      </w:r>
      <w:r>
        <w:t xml:space="preserve">isyyn käytettävistä lääkkeistä </w:t>
      </w:r>
    </w:p>
    <w:p w:rsidR="005138F9" w:rsidRDefault="005138F9" w:rsidP="005138F9">
      <w:pPr>
        <w:ind w:left="1368" w:hanging="64"/>
        <w:rPr>
          <w:lang w:val="it-IT"/>
        </w:rPr>
      </w:pPr>
      <w:bookmarkStart w:id="1" w:name="x-LÄÄKKEET-MAREVAN,_PRADAXA,_XARELTO,_PL"/>
      <w:bookmarkEnd w:id="1"/>
    </w:p>
    <w:p w:rsidR="005138F9" w:rsidRDefault="005138F9" w:rsidP="005138F9">
      <w:pPr>
        <w:ind w:left="1368" w:firstLine="1240"/>
        <w:rPr>
          <w:lang w:val="it-IT"/>
        </w:rPr>
      </w:pPr>
      <w:r>
        <w:rPr>
          <w:lang w:val="it-IT"/>
        </w:rPr>
        <w:t xml:space="preserve">tai </w:t>
      </w:r>
    </w:p>
    <w:p w:rsidR="005138F9" w:rsidRDefault="005138F9" w:rsidP="005138F9">
      <w:pPr>
        <w:ind w:left="1368" w:firstLine="1240"/>
        <w:rPr>
          <w:lang w:val="it-IT"/>
        </w:rPr>
      </w:pPr>
    </w:p>
    <w:p w:rsidR="005138F9" w:rsidRDefault="005138F9" w:rsidP="005138F9">
      <w:pPr>
        <w:ind w:left="2608"/>
        <w:rPr>
          <w:lang w:val="it-IT"/>
        </w:rPr>
      </w:pPr>
      <w:r>
        <w:t>j</w:t>
      </w:r>
      <w:r w:rsidRPr="007C02C4">
        <w:t xml:space="preserve">os teillä on käytössä </w:t>
      </w:r>
      <w:r w:rsidRPr="007C02C4">
        <w:rPr>
          <w:lang w:val="it-IT"/>
        </w:rPr>
        <w:t>neidonhiuspuu</w:t>
      </w:r>
      <w:r>
        <w:rPr>
          <w:lang w:val="it-IT"/>
        </w:rPr>
        <w:t>-</w:t>
      </w:r>
      <w:r w:rsidRPr="007C02C4">
        <w:rPr>
          <w:lang w:val="it-IT"/>
        </w:rPr>
        <w:t>, kiinankarhuputki</w:t>
      </w:r>
      <w:r>
        <w:rPr>
          <w:lang w:val="it-IT"/>
        </w:rPr>
        <w:t>-</w:t>
      </w:r>
      <w:r w:rsidRPr="007C02C4">
        <w:rPr>
          <w:lang w:val="it-IT"/>
        </w:rPr>
        <w:t>, kalaöljy-</w:t>
      </w:r>
      <w:r>
        <w:rPr>
          <w:lang w:val="it-IT"/>
        </w:rPr>
        <w:t xml:space="preserve"> ja omegavalmisteita tai</w:t>
      </w:r>
      <w:r w:rsidRPr="007C02C4">
        <w:rPr>
          <w:lang w:val="it-IT"/>
        </w:rPr>
        <w:t xml:space="preserve"> </w:t>
      </w:r>
      <w:r>
        <w:rPr>
          <w:lang w:val="it-IT"/>
        </w:rPr>
        <w:t>valkosipuliuutteita</w:t>
      </w:r>
    </w:p>
    <w:p w:rsidR="005138F9" w:rsidRPr="007C02C4" w:rsidRDefault="005138F9" w:rsidP="005138F9">
      <w:pPr>
        <w:ind w:left="2608" w:firstLine="1"/>
      </w:pPr>
      <w:r w:rsidRPr="007C02C4">
        <w:br/>
        <w:t xml:space="preserve">ilmoittakaa siitä etukäteen vuodeosastolle </w:t>
      </w:r>
      <w:r>
        <w:t xml:space="preserve">tai lähettävälle poliklinikalle. </w:t>
      </w:r>
    </w:p>
    <w:p w:rsidR="005138F9" w:rsidRPr="007C02C4" w:rsidRDefault="005138F9" w:rsidP="005138F9">
      <w:pPr>
        <w:ind w:left="2608"/>
        <w:rPr>
          <w:rFonts w:ascii="Arial" w:hAnsi="Arial"/>
          <w:sz w:val="20"/>
          <w:szCs w:val="20"/>
        </w:rPr>
      </w:pPr>
    </w:p>
    <w:p w:rsidR="005138F9" w:rsidRDefault="005138F9" w:rsidP="005138F9">
      <w:pPr>
        <w:ind w:left="1368" w:hanging="64"/>
      </w:pPr>
      <w:r>
        <w:tab/>
      </w:r>
      <w:r>
        <w:tab/>
      </w:r>
      <w:r w:rsidRPr="007C02C4">
        <w:t xml:space="preserve">Lääke on ehkä jätettävä tauolle ennen toimenpidettä, mutta siitä saatte </w:t>
      </w:r>
      <w:r>
        <w:tab/>
      </w:r>
      <w:r w:rsidRPr="007C02C4">
        <w:t xml:space="preserve">osastolta erilliset </w:t>
      </w:r>
      <w:r>
        <w:t>ohjeet.</w:t>
      </w:r>
    </w:p>
    <w:p w:rsidR="005138F9" w:rsidRDefault="005138F9" w:rsidP="005138F9">
      <w:pPr>
        <w:pStyle w:val="Vaintekstin"/>
        <w:rPr>
          <w:rFonts w:ascii="Arial" w:hAnsi="Arial" w:cs="Arial"/>
          <w:b/>
          <w:sz w:val="22"/>
        </w:rPr>
      </w:pPr>
    </w:p>
    <w:p w:rsidR="005138F9" w:rsidRDefault="005138F9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TUTKIMUSHUONEESSA </w:t>
      </w:r>
    </w:p>
    <w:p w:rsidR="00B653F6" w:rsidRDefault="005138F9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5138F9" w:rsidRDefault="005138F9" w:rsidP="00B653F6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Makaatte tutkimuspöydällä vasemmalla kyljellä (vaihtoehtoisesti istuen), polvet koukussa vatsaa vasten, selkä mahdollisimman köyryssä. Lääkäri pistää varjoaineen selkäydinnestetilaan ristiselän kohdalta. Sen jälkeen saatte siirtyä omaan sänkyyn ja teidät </w:t>
      </w:r>
      <w:r w:rsidR="00B653F6">
        <w:rPr>
          <w:rFonts w:ascii="Arial" w:hAnsi="Arial" w:cs="Arial"/>
          <w:sz w:val="22"/>
        </w:rPr>
        <w:t xml:space="preserve">voidaan </w:t>
      </w:r>
      <w:r>
        <w:rPr>
          <w:rFonts w:ascii="Arial" w:hAnsi="Arial" w:cs="Arial"/>
          <w:sz w:val="22"/>
        </w:rPr>
        <w:t>viedä vuodeosastolle odottelemaan noin kahden (2) tunnin kuluttua tehtävää TT-tutkimusta</w:t>
      </w:r>
      <w:r w:rsidR="00B653F6">
        <w:rPr>
          <w:rFonts w:ascii="Arial" w:hAnsi="Arial" w:cs="Arial"/>
          <w:sz w:val="22"/>
        </w:rPr>
        <w:t xml:space="preserve"> tai teidät voidaan viedä suoraan tietokonetomografiatutkimushuoneeseen</w:t>
      </w:r>
      <w:r>
        <w:rPr>
          <w:rFonts w:ascii="Arial" w:hAnsi="Arial" w:cs="Arial"/>
          <w:sz w:val="22"/>
        </w:rPr>
        <w:t xml:space="preserve">. </w:t>
      </w:r>
      <w:r w:rsidR="00BA42EB">
        <w:rPr>
          <w:rFonts w:ascii="Arial" w:hAnsi="Arial" w:cs="Arial"/>
          <w:sz w:val="22"/>
        </w:rPr>
        <w:t>Jos menette odottamaan kuvausta vuodeosastolle, teidän sänky on o</w:t>
      </w:r>
      <w:r>
        <w:rPr>
          <w:rFonts w:ascii="Arial" w:hAnsi="Arial" w:cs="Arial"/>
          <w:sz w:val="22"/>
        </w:rPr>
        <w:t>dotusaikana asennossa, jossa pääpuoli on muuta kehoa alempana.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5138F9" w:rsidRDefault="005138F9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B653F6" w:rsidRDefault="00B653F6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B653F6" w:rsidRDefault="00B653F6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5138F9" w:rsidRDefault="005138F9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5138F9" w:rsidRDefault="005138F9" w:rsidP="005138F9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TIETOKONETOMOGRAFIATUTKIMUSHUONEESSA </w:t>
      </w:r>
    </w:p>
    <w:p w:rsidR="00BA42EB" w:rsidRDefault="005138F9" w:rsidP="005138F9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138F9" w:rsidRDefault="005138F9" w:rsidP="00BA42EB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Tutkimuspöydälle siirtyessänne teidän on pyörähdettävä vatsan kautta ympäri. Makaatte selällään, pää </w:t>
      </w:r>
      <w:r w:rsidR="00BA42EB">
        <w:rPr>
          <w:rFonts w:ascii="Arial" w:hAnsi="Arial" w:cs="Arial"/>
          <w:sz w:val="22"/>
        </w:rPr>
        <w:t xml:space="preserve">tarvittaessa </w:t>
      </w:r>
      <w:r>
        <w:rPr>
          <w:rFonts w:ascii="Arial" w:hAnsi="Arial" w:cs="Arial"/>
          <w:sz w:val="22"/>
        </w:rPr>
        <w:t>tyynyillä tuettuna.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Tutkimuksen aikana on oltava aivan liikkumatta, hengitysohjeet kuulette kovaäänisen kautta. </w:t>
      </w:r>
    </w:p>
    <w:p w:rsidR="005138F9" w:rsidRDefault="005138F9" w:rsidP="005138F9">
      <w:pPr>
        <w:pStyle w:val="Vaintekstin"/>
        <w:ind w:left="1304"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TT-huoneessa kestää noin 5 min.</w:t>
      </w:r>
    </w:p>
    <w:p w:rsidR="005138F9" w:rsidRDefault="005138F9" w:rsidP="005138F9">
      <w:pPr>
        <w:pStyle w:val="Vaintekstin"/>
        <w:rPr>
          <w:rFonts w:ascii="Arial" w:hAnsi="Arial" w:cs="Arial"/>
          <w:sz w:val="22"/>
        </w:rPr>
      </w:pPr>
    </w:p>
    <w:p w:rsidR="005138F9" w:rsidRDefault="005138F9" w:rsidP="005138F9">
      <w:pPr>
        <w:pStyle w:val="Vaintekstin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JÄLKIHOITO</w:t>
      </w:r>
    </w:p>
    <w:p w:rsidR="00BA42EB" w:rsidRDefault="005138F9" w:rsidP="005138F9">
      <w:pPr>
        <w:pStyle w:val="Vaintekstin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5138F9" w:rsidRDefault="005138F9" w:rsidP="00BA42EB">
      <w:pPr>
        <w:pStyle w:val="Vaintekstin"/>
        <w:ind w:left="26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Tutkimuksen jälkeen teidät viedään vuodeosasto</w:t>
      </w:r>
      <w:r w:rsidR="00BA42EB">
        <w:rPr>
          <w:rFonts w:ascii="Arial" w:hAnsi="Arial" w:cs="Arial"/>
          <w:sz w:val="22"/>
        </w:rPr>
        <w:t>lle</w:t>
      </w:r>
      <w:r>
        <w:rPr>
          <w:rFonts w:ascii="Arial" w:hAnsi="Arial" w:cs="Arial"/>
          <w:sz w:val="22"/>
        </w:rPr>
        <w:t>. Olette puoli-istuvassa asennossa noin kaksi (2) tuntia. Sen jälkeen voitte liikkua vapaasti.</w:t>
      </w:r>
    </w:p>
    <w:p w:rsidR="005138F9" w:rsidRDefault="005138F9" w:rsidP="005138F9">
      <w:pPr>
        <w:pStyle w:val="Vaintekstin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On muistettava kuitenkin pitää pää lantion yläpuolella vuorokauden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ajan, ja vuodelevossa on oltava lievä kohoasento seuraavaan aamuun asti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päänsäryn välttämiseksi. Särkyyn voitte ottaa tavallisia särkylääkkeitä.</w:t>
      </w:r>
    </w:p>
    <w:p w:rsidR="005138F9" w:rsidRDefault="005138F9" w:rsidP="005138F9">
      <w:pPr>
        <w:pStyle w:val="Vaintekstin"/>
        <w:jc w:val="both"/>
        <w:rPr>
          <w:rFonts w:ascii="Arial" w:hAnsi="Arial" w:cs="Arial"/>
          <w:sz w:val="22"/>
        </w:rPr>
      </w:pPr>
    </w:p>
    <w:p w:rsidR="005138F9" w:rsidRPr="00D45131" w:rsidRDefault="005138F9" w:rsidP="005138F9">
      <w:pPr>
        <w:pStyle w:val="Vaintekstin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45131">
        <w:rPr>
          <w:rFonts w:ascii="Arial" w:hAnsi="Arial" w:cs="Arial"/>
          <w:b/>
          <w:sz w:val="22"/>
        </w:rPr>
        <w:t>Kotiutus</w:t>
      </w:r>
    </w:p>
    <w:p w:rsidR="005138F9" w:rsidRDefault="005138F9" w:rsidP="00BA42EB">
      <w:pPr>
        <w:pStyle w:val="Vaintekstin"/>
        <w:ind w:left="2608" w:firstLine="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Pääsette kotiin tutkimuspäivän iltana, kun jatkotoimenpiteet on selvitetty.</w:t>
      </w:r>
      <w:r w:rsidR="00BA42E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Voitte liikkua yleisillä kulkuneuvoilla, omalla autolla tai taksilla, vointinne mukaan. Tutkimus ei anna aihetta sairaslomaan. </w:t>
      </w:r>
    </w:p>
    <w:p w:rsidR="005138F9" w:rsidRDefault="005138F9" w:rsidP="005138F9">
      <w:pPr>
        <w:pStyle w:val="Vaintekstin"/>
        <w:rPr>
          <w:rFonts w:ascii="Arial" w:hAnsi="Arial" w:cs="Arial"/>
          <w:sz w:val="22"/>
        </w:rPr>
      </w:pPr>
    </w:p>
    <w:p w:rsidR="005138F9" w:rsidRDefault="005138F9" w:rsidP="005138F9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Jos teillä on kysyttävää toimenpiteestä, ottakaa yhteys röntgen 2:een, </w:t>
      </w:r>
    </w:p>
    <w:p w:rsidR="005138F9" w:rsidRDefault="005138F9" w:rsidP="005138F9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puh 017 - 173307 arkisin klo 8.00 - 14.30. </w:t>
      </w:r>
    </w:p>
    <w:p w:rsidR="009B4A3D" w:rsidRPr="009B4A3D" w:rsidRDefault="009B4A3D" w:rsidP="009B4A3D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Puijonlaaksontie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Puijonsarventie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5138F9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F0B4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5F0B49">
            <w:fldChar w:fldCharType="begin"/>
          </w:r>
          <w:r w:rsidR="005F0B49">
            <w:instrText>NUMPAGES  \* Arabic  \* MERGEFORMAT</w:instrText>
          </w:r>
          <w:r w:rsidR="005F0B49">
            <w:fldChar w:fldCharType="separate"/>
          </w:r>
          <w:r w:rsidR="005F0B49" w:rsidRPr="005F0B49">
            <w:rPr>
              <w:rFonts w:ascii="Arial" w:hAnsi="Arial" w:cs="Arial"/>
              <w:noProof/>
            </w:rPr>
            <w:t>1</w:t>
          </w:r>
          <w:r w:rsidR="005F0B4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5138F9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OHJE-2020-00403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5138F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5138F9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5138F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5F0B49">
            <w:rPr>
              <w:rFonts w:ascii="Arial" w:hAnsi="Arial" w:cs="Arial"/>
              <w:noProof/>
            </w:rPr>
            <w:instrText>16.9.2020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F0B49">
            <w:rPr>
              <w:rFonts w:ascii="Arial" w:hAnsi="Arial" w:cs="Arial"/>
              <w:noProof/>
            </w:rPr>
            <w:t>16.9.2020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138F9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38F9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0B49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653F6"/>
    <w:rsid w:val="00B9111A"/>
    <w:rsid w:val="00BA38CC"/>
    <w:rsid w:val="00BA42EB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C0EFE0E-0A29-493E-A1DB-63D74CF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5138F9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5138F9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gbs:GrowBusinessDocument xmlns:gbs="http://www.software-innovation.no/growBusinessDocument" gbs:officeVersion="2007" gbs:sourceId="384829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OHJE-2020-00403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Selkäydinkanavan varjoainetutkimus (myelografia)</gbs:Title>
  <gbs:CF_instructiondescription gbs:loadFromGrowBusiness="OnEdit" gbs:saveInGrowBusiness="False" gbs:connected="true" gbs:recno="" gbs:entity="" gbs:datatype="note" gbs:key="10004" gbs:removeContentControl="0">Kaularangan tai lannerangan alueelle tehtävä selkäydinkanavan varjoainetutkimus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B74E28-2562-4DBF-B3FD-A928CAB1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Kulhomäki Anne-Mari</dc:creator>
  <dc:description>Doha ohjemalli 18.2.2013</dc:description>
  <cp:lastModifiedBy>Iljin Heidi</cp:lastModifiedBy>
  <cp:revision>2</cp:revision>
  <cp:lastPrinted>2013-09-13T06:29:00Z</cp:lastPrinted>
  <dcterms:created xsi:type="dcterms:W3CDTF">2020-09-16T05:35:00Z</dcterms:created>
  <dcterms:modified xsi:type="dcterms:W3CDTF">2020-09-16T05:35:00Z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Selkäydinkanavan varjoainetutkimus (myelografia)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\\Z10099\D360_Work_tuotanto\work\shp\heidiil\OHJE-2020-00403 Selkäydinkanavan varjoainetutkimus (myelografia) 385471_311657_0.DOCX</vt:lpwstr>
  </property>
  <property name="docId" fmtid="{D5CDD505-2E9C-101B-9397-08002B2CF9AE}" pid="31">
    <vt:lpwstr>384829</vt:lpwstr>
  </property>
  <property name="verId" fmtid="{D5CDD505-2E9C-101B-9397-08002B2CF9AE}" pid="32">
    <vt:lpwstr>311657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Kulhomäki Anne-Mari</vt:lpwstr>
  </property>
  <property name="modifiedBy" fmtid="{D5CDD505-2E9C-101B-9397-08002B2CF9AE}" pid="41">
    <vt:lpwstr>Iljin Heidi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311657</vt:lpwstr>
  </property>
  <property name="fileId" fmtid="{D5CDD505-2E9C-101B-9397-08002B2CF9AE}" pid="50">
    <vt:lpwstr>385471</vt:lpwstr>
  </property>
  <property name="fileName" fmtid="{D5CDD505-2E9C-101B-9397-08002B2CF9AE}" pid="51">
    <vt:lpwstr>OHJE-2020-00403 Selkäydinkanavan varjoainetutkimus (myelografia) 385471_311657_0.DOCX</vt:lpwstr>
  </property>
  <property name="filePath" fmtid="{D5CDD505-2E9C-101B-9397-08002B2CF9AE}" pid="52">
    <vt:lpwstr>\\Z10099\D360_Work_tuotanto\work\shp\makelate\</vt:lpwstr>
  </property>
  <property name="Operation" fmtid="{D5CDD505-2E9C-101B-9397-08002B2CF9AE}" pid="53">
    <vt:lpwstr>CheckoutFile</vt:lpwstr>
  </property>
</Properties>
</file>