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F2177A" w:rsidRDefault="009F16D0" w:rsidP="002D7B59">
          <w:pPr>
            <w:pStyle w:val="Otsikko1"/>
          </w:pPr>
          <w:r>
            <w:t>Ruokavalio-ohje PET/TT-tutkimusta varten</w:t>
          </w:r>
        </w:p>
      </w:sdtContent>
    </w:sdt>
    <w:p w:rsidR="00871A83" w:rsidRPr="00F2177A" w:rsidRDefault="00871A83" w:rsidP="00871A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F16D0" w:rsidP="00871A83">
                <w:r>
                  <w:t>Ohje tutkimukseen valmistautumiseen, sisältää dieettiohjeen ja ateriapäiväkirjan</w:t>
                </w:r>
              </w:p>
            </w:sdtContent>
          </w:sdt>
        </w:tc>
      </w:tr>
    </w:tbl>
    <w:p w:rsidR="00871A83" w:rsidRDefault="00871A83" w:rsidP="00871A83"/>
    <w:p w:rsidR="008B28FD" w:rsidRPr="00DB1332" w:rsidRDefault="008B28FD" w:rsidP="008B28FD">
      <w:pPr>
        <w:spacing w:after="200"/>
        <w:contextualSpacing/>
        <w:rPr>
          <w:b/>
          <w:bCs/>
        </w:rPr>
      </w:pPr>
      <w:r w:rsidRPr="00CA085C">
        <w:rPr>
          <w:b/>
          <w:bCs/>
        </w:rPr>
        <w:t>Ennen tutkimusta on paastottava 12 tuntia ja tutkimusta edeltävänä päivänä on noudatettava erityistä ruokavaliota</w:t>
      </w:r>
      <w:r w:rsidRPr="00CA085C">
        <w:t>, joka sisältää vähän hiilihydraatteja, mutta runsaasti r</w:t>
      </w:r>
      <w:r w:rsidR="00AB4AB8">
        <w:t>asvaa. Edeltävänä päivänä tulee</w:t>
      </w:r>
      <w:r w:rsidRPr="00CA085C">
        <w:t xml:space="preserve"> syödä 4-6 ateriaa.</w:t>
      </w:r>
      <w:r w:rsidRPr="00CA085C">
        <w:rPr>
          <w:b/>
          <w:bCs/>
        </w:rPr>
        <w:t> </w:t>
      </w:r>
      <w:r w:rsidRPr="00CA085C">
        <w:t>Ruokavalio-ohjeen tarkoituksena on tuottaa alhaiset sokeri- ja insuliinitasot, sekä korkeat vapaiden rasvahappojen pitoisuudet. </w:t>
      </w:r>
      <w:r w:rsidRPr="0012370E">
        <w:rPr>
          <w:bCs/>
        </w:rPr>
        <w:t>Esimerkkiaterioita seuraavalla sivulla.</w:t>
      </w:r>
    </w:p>
    <w:p w:rsidR="008B28FD" w:rsidRDefault="008B28FD" w:rsidP="008B28FD">
      <w:pPr>
        <w:spacing w:after="200"/>
        <w:contextualSpacing/>
      </w:pPr>
    </w:p>
    <w:p w:rsidR="008B28FD" w:rsidRDefault="008B28FD" w:rsidP="008B28FD">
      <w:pPr>
        <w:spacing w:after="200"/>
        <w:contextualSpacing/>
        <w:rPr>
          <w:b/>
          <w:bCs/>
        </w:rPr>
      </w:pPr>
      <w:r w:rsidRPr="00DB1332">
        <w:rPr>
          <w:b/>
          <w:bCs/>
        </w:rPr>
        <w:t>Täyt</w:t>
      </w:r>
      <w:r>
        <w:rPr>
          <w:b/>
          <w:bCs/>
        </w:rPr>
        <w:t xml:space="preserve">täkää ateriapäiväkirja tarkasti, jotta tutkimuksen onnistuminen voidaan varmistaa.  </w:t>
      </w:r>
    </w:p>
    <w:p w:rsidR="008B28FD" w:rsidRDefault="008B28FD" w:rsidP="008B28FD">
      <w:pPr>
        <w:spacing w:after="200"/>
        <w:contextualSpacing/>
        <w:rPr>
          <w:b/>
          <w:bCs/>
        </w:rPr>
      </w:pPr>
    </w:p>
    <w:p w:rsidR="008B28FD" w:rsidRDefault="008B28FD" w:rsidP="008B28FD">
      <w:pPr>
        <w:spacing w:after="200"/>
        <w:contextualSpacing/>
        <w:rPr>
          <w:b/>
          <w:bCs/>
        </w:rPr>
      </w:pPr>
      <w:r w:rsidRPr="00CA085C">
        <w:rPr>
          <w:b/>
          <w:bCs/>
        </w:rPr>
        <w:t>Mikäli ruokavaliota ei ole nouda</w:t>
      </w:r>
      <w:r>
        <w:rPr>
          <w:b/>
          <w:bCs/>
        </w:rPr>
        <w:t>tettu, tutkimuksen tarkkuus heikentyy</w:t>
      </w:r>
      <w:r w:rsidRPr="00CA085C">
        <w:rPr>
          <w:b/>
          <w:bCs/>
        </w:rPr>
        <w:t xml:space="preserve"> ja tutkimus </w:t>
      </w:r>
      <w:r>
        <w:rPr>
          <w:b/>
          <w:bCs/>
        </w:rPr>
        <w:t>voidaan perua.</w:t>
      </w:r>
    </w:p>
    <w:p w:rsidR="008B28FD" w:rsidRDefault="008B28FD" w:rsidP="008B28FD">
      <w:pPr>
        <w:spacing w:after="200"/>
        <w:contextualSpacing/>
        <w:rPr>
          <w:b/>
          <w:bCs/>
        </w:rPr>
      </w:pPr>
    </w:p>
    <w:p w:rsidR="008B28FD" w:rsidRPr="00CE3750" w:rsidRDefault="008B28FD" w:rsidP="008B28FD">
      <w:pPr>
        <w:spacing w:after="200"/>
        <w:contextualSpacing/>
      </w:pPr>
      <w:r w:rsidRPr="00CE3750">
        <w:t> </w:t>
      </w:r>
    </w:p>
    <w:p w:rsidR="008B28FD" w:rsidRPr="00CA085C" w:rsidRDefault="008B28FD" w:rsidP="008B28FD">
      <w:pPr>
        <w:spacing w:after="200"/>
        <w:contextualSpacing/>
      </w:pPr>
      <w:r w:rsidRPr="00CA085C">
        <w:rPr>
          <w:b/>
          <w:bCs/>
        </w:rPr>
        <w:t>SALLITUT RUOAT:</w:t>
      </w:r>
      <w:r w:rsidRPr="00CA085C">
        <w:t> </w:t>
      </w:r>
    </w:p>
    <w:p w:rsidR="008B28FD" w:rsidRDefault="008B28FD" w:rsidP="008B28FD">
      <w:pPr>
        <w:numPr>
          <w:ilvl w:val="0"/>
          <w:numId w:val="11"/>
        </w:numPr>
        <w:spacing w:after="200"/>
        <w:contextualSpacing/>
      </w:pPr>
      <w:r w:rsidRPr="00CA085C">
        <w:t>Marinoimattomat ja leivittämättömät lihat, kalat ja äyriäiset</w:t>
      </w:r>
      <w:r>
        <w:t>, kananmuna, pekoni</w:t>
      </w:r>
    </w:p>
    <w:p w:rsidR="008B28FD" w:rsidRDefault="008B28FD" w:rsidP="008B28FD">
      <w:pPr>
        <w:numPr>
          <w:ilvl w:val="0"/>
          <w:numId w:val="11"/>
        </w:numPr>
        <w:spacing w:after="200"/>
        <w:contextualSpacing/>
      </w:pPr>
      <w:r w:rsidRPr="008B28FD">
        <w:rPr>
          <w:b/>
        </w:rPr>
        <w:t>T</w:t>
      </w:r>
      <w:r w:rsidRPr="009E103A">
        <w:rPr>
          <w:b/>
        </w:rPr>
        <w:t>äys</w:t>
      </w:r>
      <w:r w:rsidRPr="00CA085C">
        <w:t>lihaleikkeleet (EI tuotteit</w:t>
      </w:r>
      <w:r>
        <w:t>a, joissa on korppujauhoreunus.</w:t>
      </w:r>
      <w:r w:rsidRPr="009E103A">
        <w:rPr>
          <w:color w:val="000000" w:themeColor="text1"/>
        </w:rPr>
        <w:t>)</w:t>
      </w:r>
    </w:p>
    <w:p w:rsidR="008B28FD" w:rsidRPr="00CA085C" w:rsidRDefault="008B28FD" w:rsidP="008B28FD">
      <w:pPr>
        <w:numPr>
          <w:ilvl w:val="0"/>
          <w:numId w:val="12"/>
        </w:numPr>
        <w:spacing w:after="200"/>
        <w:contextualSpacing/>
      </w:pPr>
      <w:r w:rsidRPr="00CA085C">
        <w:t>Kypsytetyt juustot (esim. edam, emmental, gouda) </w:t>
      </w:r>
    </w:p>
    <w:p w:rsidR="008B28FD" w:rsidRPr="00CA085C" w:rsidRDefault="008B28FD" w:rsidP="008B28FD">
      <w:pPr>
        <w:numPr>
          <w:ilvl w:val="0"/>
          <w:numId w:val="12"/>
        </w:numPr>
        <w:spacing w:after="200"/>
        <w:contextualSpacing/>
      </w:pPr>
      <w:r w:rsidRPr="00CA085C">
        <w:t>Kasviöljy, margariini (60-70 % rasvaa sisältävä) </w:t>
      </w:r>
    </w:p>
    <w:p w:rsidR="008B28FD" w:rsidRPr="00CA085C" w:rsidRDefault="008B28FD" w:rsidP="008B28FD">
      <w:pPr>
        <w:numPr>
          <w:ilvl w:val="0"/>
          <w:numId w:val="12"/>
        </w:numPr>
        <w:spacing w:after="200"/>
        <w:contextualSpacing/>
      </w:pPr>
      <w:r w:rsidRPr="00CA085C">
        <w:t>Vesi </w:t>
      </w:r>
    </w:p>
    <w:p w:rsidR="008B28FD" w:rsidRPr="00CA085C" w:rsidRDefault="008B28FD" w:rsidP="008B28FD">
      <w:pPr>
        <w:numPr>
          <w:ilvl w:val="0"/>
          <w:numId w:val="12"/>
        </w:numPr>
        <w:spacing w:after="200"/>
        <w:contextualSpacing/>
      </w:pPr>
      <w:r w:rsidRPr="00CA085C">
        <w:t>Mausteet ja yrtit (EI maustesekoitukset) </w:t>
      </w:r>
    </w:p>
    <w:p w:rsidR="008B28FD" w:rsidRPr="00CA085C" w:rsidRDefault="008B28FD" w:rsidP="008B28FD">
      <w:pPr>
        <w:numPr>
          <w:ilvl w:val="0"/>
          <w:numId w:val="12"/>
        </w:numPr>
        <w:spacing w:after="200"/>
        <w:contextualSpacing/>
      </w:pPr>
      <w:r w:rsidRPr="00CA085C">
        <w:t>Kahvi ja maustamaton tee </w:t>
      </w:r>
      <w:r w:rsidRPr="00CA085C">
        <w:rPr>
          <w:b/>
          <w:bCs/>
        </w:rPr>
        <w:t>ilman</w:t>
      </w:r>
      <w:r w:rsidRPr="00CA085C">
        <w:t> sokeria tai maitoa </w:t>
      </w:r>
    </w:p>
    <w:p w:rsidR="008B28FD" w:rsidRDefault="008B28FD" w:rsidP="008B28FD">
      <w:pPr>
        <w:numPr>
          <w:ilvl w:val="0"/>
          <w:numId w:val="13"/>
        </w:numPr>
        <w:spacing w:after="200"/>
        <w:contextualSpacing/>
      </w:pPr>
      <w:r w:rsidRPr="00CA085C">
        <w:t>Keinotekoiset makeutusainetabletit (kauppanimiä mm. Canderel. Hermesetas) </w:t>
      </w:r>
    </w:p>
    <w:p w:rsidR="00AB4AB8" w:rsidRDefault="00AB4AB8" w:rsidP="00AB4AB8">
      <w:pPr>
        <w:spacing w:after="200"/>
        <w:contextualSpacing/>
      </w:pPr>
    </w:p>
    <w:p w:rsidR="00AB4AB8" w:rsidRPr="00CA085C" w:rsidRDefault="00AB4AB8" w:rsidP="00AB4AB8">
      <w:pPr>
        <w:spacing w:after="200"/>
        <w:contextualSpacing/>
      </w:pPr>
      <w:r w:rsidRPr="00AB4AB8">
        <w:rPr>
          <w:b/>
        </w:rPr>
        <w:t>HUOM!</w:t>
      </w:r>
      <w:r>
        <w:t xml:space="preserve"> Joissain tuotteissa, esim. Pekonissa on lisättynä glukoosia, maissitärkkelystä, hunajaa ym. </w:t>
      </w:r>
      <w:r>
        <w:rPr>
          <w:color w:val="000000" w:themeColor="text1"/>
        </w:rPr>
        <w:t>T</w:t>
      </w:r>
      <w:r w:rsidRPr="009E103A">
        <w:rPr>
          <w:color w:val="000000" w:themeColor="text1"/>
        </w:rPr>
        <w:t>arkista ravintosisältötiedot pakkauksesta</w:t>
      </w:r>
      <w:r>
        <w:rPr>
          <w:color w:val="000000" w:themeColor="text1"/>
        </w:rPr>
        <w:t xml:space="preserve">, </w:t>
      </w:r>
      <w:r>
        <w:rPr>
          <w:b/>
          <w:color w:val="000000" w:themeColor="text1"/>
        </w:rPr>
        <w:t>h</w:t>
      </w:r>
      <w:r w:rsidRPr="00AB4AB8">
        <w:rPr>
          <w:b/>
          <w:color w:val="000000" w:themeColor="text1"/>
        </w:rPr>
        <w:t>iilihydraattimäärä</w:t>
      </w:r>
      <w:r>
        <w:rPr>
          <w:b/>
          <w:color w:val="000000" w:themeColor="text1"/>
        </w:rPr>
        <w:t xml:space="preserve"> saa olla korkeintaan 0.5 g/100 g.</w:t>
      </w:r>
      <w:r w:rsidRPr="009E103A">
        <w:rPr>
          <w:color w:val="000000" w:themeColor="text1"/>
        </w:rPr>
        <w:t xml:space="preserve"> </w:t>
      </w:r>
    </w:p>
    <w:p w:rsidR="008B28FD" w:rsidRPr="00CA085C" w:rsidRDefault="008B28FD" w:rsidP="008B28FD">
      <w:pPr>
        <w:spacing w:after="200"/>
        <w:contextualSpacing/>
      </w:pPr>
      <w:r w:rsidRPr="00CA085C">
        <w:t> </w:t>
      </w:r>
    </w:p>
    <w:p w:rsidR="008B28FD" w:rsidRPr="00CA085C" w:rsidRDefault="008B28FD" w:rsidP="008B28FD">
      <w:pPr>
        <w:spacing w:after="200"/>
        <w:contextualSpacing/>
      </w:pPr>
      <w:r w:rsidRPr="00CA085C">
        <w:t> </w:t>
      </w:r>
    </w:p>
    <w:p w:rsidR="008B28FD" w:rsidRPr="00CA085C" w:rsidRDefault="008B28FD" w:rsidP="008B28FD">
      <w:pPr>
        <w:spacing w:after="200"/>
        <w:contextualSpacing/>
      </w:pPr>
      <w:r w:rsidRPr="00CA085C">
        <w:rPr>
          <w:b/>
          <w:bCs/>
        </w:rPr>
        <w:t>KIELLETYT RUOAT:</w:t>
      </w:r>
      <w:r w:rsidRPr="00CA085C">
        <w:t> </w:t>
      </w:r>
    </w:p>
    <w:p w:rsidR="008B28FD" w:rsidRPr="00CA085C" w:rsidRDefault="008B28FD" w:rsidP="008B28FD">
      <w:pPr>
        <w:numPr>
          <w:ilvl w:val="0"/>
          <w:numId w:val="14"/>
        </w:numPr>
        <w:spacing w:after="200"/>
        <w:contextualSpacing/>
      </w:pPr>
      <w:r w:rsidRPr="00CA085C">
        <w:t>Sokeri, hunaja</w:t>
      </w:r>
      <w:r>
        <w:t>, glukoosi, maltodekstriini</w:t>
      </w:r>
      <w:r w:rsidRPr="00CA085C">
        <w:t> </w:t>
      </w:r>
    </w:p>
    <w:p w:rsidR="008B28FD" w:rsidRPr="00CA085C" w:rsidRDefault="008B28FD" w:rsidP="008B28FD">
      <w:pPr>
        <w:numPr>
          <w:ilvl w:val="0"/>
          <w:numId w:val="14"/>
        </w:numPr>
        <w:spacing w:after="200"/>
        <w:contextualSpacing/>
      </w:pPr>
      <w:r w:rsidRPr="00CA085C">
        <w:t>Makeiset, suklaa, purukumi, pastillit HUOM! myös ns. sokerittomat eli ksylitolilla, sorbitolilla, </w:t>
      </w:r>
    </w:p>
    <w:p w:rsidR="008B28FD" w:rsidRPr="00CA085C" w:rsidRDefault="008B28FD" w:rsidP="008B28FD">
      <w:pPr>
        <w:spacing w:after="200"/>
        <w:ind w:firstLine="720"/>
        <w:contextualSpacing/>
      </w:pPr>
      <w:r w:rsidRPr="00CA085C">
        <w:t>maltitolilla ym. makeutetut  </w:t>
      </w:r>
    </w:p>
    <w:p w:rsidR="008B28FD" w:rsidRPr="00CA085C" w:rsidRDefault="008B28FD" w:rsidP="008B28FD">
      <w:pPr>
        <w:numPr>
          <w:ilvl w:val="0"/>
          <w:numId w:val="15"/>
        </w:numPr>
        <w:spacing w:after="200"/>
        <w:contextualSpacing/>
      </w:pPr>
      <w:r w:rsidRPr="00CA085C">
        <w:t>Kaikki maitovalmisteet (VAIN kypsytetyt juustot sallittu)  </w:t>
      </w:r>
    </w:p>
    <w:p w:rsidR="008B28FD" w:rsidRPr="00CA085C" w:rsidRDefault="008B28FD" w:rsidP="008B28FD">
      <w:pPr>
        <w:numPr>
          <w:ilvl w:val="0"/>
          <w:numId w:val="15"/>
        </w:numPr>
        <w:spacing w:after="200"/>
        <w:contextualSpacing/>
      </w:pPr>
      <w:r w:rsidRPr="00CA085C">
        <w:t>Kaikki viljaa sisältävät tuotteet: leipä, puuro, murot, keksit, leivonnaiset ym. </w:t>
      </w:r>
    </w:p>
    <w:p w:rsidR="008B28FD" w:rsidRPr="00CA085C" w:rsidRDefault="008B28FD" w:rsidP="008B28FD">
      <w:pPr>
        <w:numPr>
          <w:ilvl w:val="0"/>
          <w:numId w:val="15"/>
        </w:numPr>
        <w:spacing w:after="200"/>
        <w:contextualSpacing/>
      </w:pPr>
      <w:r w:rsidRPr="00CA085C">
        <w:t>Peruna, riisi, pasta </w:t>
      </w:r>
    </w:p>
    <w:p w:rsidR="008B28FD" w:rsidRPr="00CA085C" w:rsidRDefault="008B28FD" w:rsidP="008B28FD">
      <w:pPr>
        <w:numPr>
          <w:ilvl w:val="0"/>
          <w:numId w:val="15"/>
        </w:numPr>
        <w:spacing w:after="200"/>
        <w:contextualSpacing/>
      </w:pPr>
      <w:r w:rsidRPr="00CA085C">
        <w:t>Kaikki kasvikset, juurekset, vihannekset, pavut ja linssit  </w:t>
      </w:r>
    </w:p>
    <w:p w:rsidR="008B28FD" w:rsidRPr="00CA085C" w:rsidRDefault="008B28FD" w:rsidP="008B28FD">
      <w:pPr>
        <w:numPr>
          <w:ilvl w:val="0"/>
          <w:numId w:val="16"/>
        </w:numPr>
        <w:spacing w:after="200"/>
        <w:contextualSpacing/>
      </w:pPr>
      <w:r w:rsidRPr="00CA085C">
        <w:t>Pähkinät, mantelit, marsipaani </w:t>
      </w:r>
    </w:p>
    <w:p w:rsidR="008B28FD" w:rsidRPr="00CA085C" w:rsidRDefault="008B28FD" w:rsidP="008B28FD">
      <w:pPr>
        <w:numPr>
          <w:ilvl w:val="0"/>
          <w:numId w:val="16"/>
        </w:numPr>
        <w:spacing w:after="200"/>
        <w:contextualSpacing/>
      </w:pPr>
      <w:r w:rsidRPr="00CA085C">
        <w:t>Kaikki marjat ja hedelmät </w:t>
      </w:r>
    </w:p>
    <w:p w:rsidR="008B28FD" w:rsidRDefault="008B28FD" w:rsidP="008B28FD">
      <w:pPr>
        <w:numPr>
          <w:ilvl w:val="0"/>
          <w:numId w:val="16"/>
        </w:numPr>
        <w:spacing w:after="200"/>
        <w:contextualSpacing/>
      </w:pPr>
      <w:r w:rsidRPr="00CA085C">
        <w:t>Kaikk</w:t>
      </w:r>
      <w:r>
        <w:t>i mehut ja muut virvoitusjuomat sekä alkoholi</w:t>
      </w:r>
    </w:p>
    <w:p w:rsidR="008B28FD" w:rsidRDefault="008B28FD" w:rsidP="008B28FD">
      <w:pPr>
        <w:numPr>
          <w:ilvl w:val="0"/>
          <w:numId w:val="16"/>
        </w:numPr>
        <w:spacing w:after="200"/>
        <w:contextualSpacing/>
      </w:pPr>
      <w:r w:rsidRPr="00CA085C">
        <w:t xml:space="preserve">Kaikki ruoat, jotka eivät </w:t>
      </w:r>
      <w:r>
        <w:t xml:space="preserve">ole </w:t>
      </w:r>
      <w:r w:rsidRPr="00CA085C">
        <w:t>sallittujen listalla  </w:t>
      </w:r>
    </w:p>
    <w:p w:rsidR="008B28FD" w:rsidRDefault="008B28FD" w:rsidP="008B28FD">
      <w:pPr>
        <w:spacing w:after="200"/>
        <w:contextualSpacing/>
      </w:pPr>
    </w:p>
    <w:p w:rsidR="008B28FD" w:rsidRDefault="008B28FD" w:rsidP="008B28FD">
      <w:r>
        <w:br w:type="page"/>
      </w:r>
    </w:p>
    <w:p w:rsidR="008B28FD" w:rsidRDefault="008B28FD" w:rsidP="008B28FD">
      <w:pPr>
        <w:spacing w:after="200"/>
        <w:contextualSpacing/>
      </w:pPr>
      <w:r>
        <w:lastRenderedPageBreak/>
        <w:t>Huom! Ateriat tulee kasata vain sallituista ruoista!</w:t>
      </w:r>
    </w:p>
    <w:p w:rsidR="008B28FD" w:rsidRDefault="008B28FD" w:rsidP="008B28FD">
      <w:pPr>
        <w:spacing w:after="200"/>
        <w:contextualSpacing/>
      </w:pPr>
    </w:p>
    <w:p w:rsidR="008B28FD" w:rsidRPr="00CA085C" w:rsidRDefault="008B28FD" w:rsidP="008B28FD">
      <w:pPr>
        <w:spacing w:after="200"/>
        <w:contextualSpacing/>
      </w:pPr>
      <w:r w:rsidRPr="00CA085C">
        <w:t xml:space="preserve">Aamu- ja iltapalalla voi syödä </w:t>
      </w:r>
      <w:r>
        <w:t>esim. täyslihaleikkeleitä,</w:t>
      </w:r>
      <w:r w:rsidRPr="00CA085C">
        <w:t xml:space="preserve"> kypsytettyjä juustoja, paistettua pekonia ja kananmunia. Juoda voi kahvia, teetä ja vettä. </w:t>
      </w:r>
    </w:p>
    <w:p w:rsidR="008B28FD" w:rsidRDefault="008B28FD" w:rsidP="008B28FD">
      <w:pPr>
        <w:spacing w:after="200"/>
        <w:contextualSpacing/>
      </w:pPr>
      <w:r w:rsidRPr="00CA085C">
        <w:t>Lämpimäksi ateriaksi sopii esim. Munakas, jonka lisäkkeenä on lihaa, kalaa ja/tai juustoa.  </w:t>
      </w:r>
    </w:p>
    <w:p w:rsidR="008B28FD" w:rsidRPr="00CA085C" w:rsidRDefault="008B28FD" w:rsidP="008B28FD">
      <w:pPr>
        <w:spacing w:after="200"/>
        <w:contextualSpacing/>
      </w:pPr>
    </w:p>
    <w:p w:rsidR="008B28FD" w:rsidRPr="00CE3750" w:rsidRDefault="008B28FD" w:rsidP="008B28FD">
      <w:pPr>
        <w:spacing w:after="200"/>
        <w:contextualSpacing/>
      </w:pPr>
      <w:r>
        <w:t>R</w:t>
      </w:r>
      <w:r w:rsidRPr="00E56A90">
        <w:t>uokavaliota ei voi toteuttaa vegaanisena (= vain kasvikunnan tuotteita sisältävänä), kasviproteiininlähteissä on tähän ruokavalioon liian suuret hiilihydraattimäärät. Ruokavalio voidaan kuitenkin toteuttaa lakto-ovovegetaarisena sekä kotona että osastolla, jolloin ruokavalio toteutetaan kananmunaa ja kypsytettyjä juustoja käyttämällä. Kaikilla päivän aterioilla voi esimerkiksi syödä juustomunakkaan, juustolaatua ja (yrtti)mausteita, myös tuoreyrttejä vaihtamalla saa makuun vaihtelua.</w:t>
      </w:r>
    </w:p>
    <w:p w:rsidR="008B28FD" w:rsidRPr="00CA085C" w:rsidRDefault="008B28FD" w:rsidP="008B28FD">
      <w:pPr>
        <w:spacing w:after="200"/>
        <w:contextualSpacing/>
      </w:pPr>
    </w:p>
    <w:p w:rsidR="008B28FD" w:rsidRPr="0059271B" w:rsidRDefault="008B28FD" w:rsidP="008B28FD">
      <w:pPr>
        <w:spacing w:after="200"/>
        <w:contextualSpacing/>
        <w:rPr>
          <w:b/>
          <w:bCs/>
        </w:rPr>
      </w:pPr>
      <w:r w:rsidRPr="00D17056">
        <w:rPr>
          <w:b/>
          <w:bCs/>
        </w:rPr>
        <w:t>Tutkimuksen onnistumiseksi ja riittävän energiansaannin turvaamiseksi jokaiselle aterialle on lisät</w:t>
      </w:r>
      <w:r>
        <w:rPr>
          <w:b/>
          <w:bCs/>
        </w:rPr>
        <w:t>tävä 1-3 rkl ruokaöljyä tai 60-</w:t>
      </w:r>
      <w:r w:rsidRPr="00D17056">
        <w:rPr>
          <w:b/>
          <w:bCs/>
        </w:rPr>
        <w:t>75% margariinia</w:t>
      </w:r>
      <w:r>
        <w:rPr>
          <w:b/>
          <w:bCs/>
        </w:rPr>
        <w:t xml:space="preserve"> energiantarpeen mukaan</w:t>
      </w:r>
      <w:r w:rsidRPr="00D17056">
        <w:rPr>
          <w:b/>
          <w:bCs/>
        </w:rPr>
        <w:t>.</w:t>
      </w:r>
    </w:p>
    <w:p w:rsidR="008B28FD" w:rsidRDefault="008B28FD" w:rsidP="008B28FD">
      <w:pPr>
        <w:spacing w:after="200"/>
        <w:contextualSpacing/>
        <w:rPr>
          <w:rFonts w:ascii="Arial" w:eastAsia="Calibri" w:hAnsi="Arial" w:cs="Arial"/>
          <w:b/>
        </w:rPr>
      </w:pPr>
    </w:p>
    <w:p w:rsidR="008B28FD" w:rsidRDefault="008B28FD" w:rsidP="008B28FD">
      <w:pPr>
        <w:spacing w:after="200"/>
        <w:contextualSpacing/>
        <w:rPr>
          <w:rFonts w:ascii="Arial" w:eastAsia="Calibri" w:hAnsi="Arial" w:cs="Arial"/>
          <w:b/>
        </w:rPr>
      </w:pPr>
    </w:p>
    <w:p w:rsidR="008B28FD" w:rsidRDefault="008B28FD" w:rsidP="008B28FD">
      <w:pPr>
        <w:spacing w:after="20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ATERIAPÄIVÄKIRJA, kuvausta edeltävä päivä. </w:t>
      </w:r>
    </w:p>
    <w:p w:rsidR="008B28FD" w:rsidRDefault="008B28FD" w:rsidP="008B28FD">
      <w:pPr>
        <w:spacing w:after="200"/>
        <w:contextualSpacing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984"/>
      </w:tblGrid>
      <w:tr w:rsidR="008B28FD" w:rsidTr="002C0C72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Klo</w:t>
            </w:r>
          </w:p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Ateriakuvaus  (ruoat ja juomat)</w:t>
            </w:r>
          </w:p>
        </w:tc>
      </w:tr>
      <w:tr w:rsidR="008B28FD" w:rsidTr="002C0C72">
        <w:trPr>
          <w:trHeight w:val="66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6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4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5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6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7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5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5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8B28FD" w:rsidTr="002C0C72">
        <w:trPr>
          <w:trHeight w:val="57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FD" w:rsidRDefault="008B28FD" w:rsidP="002C0C72">
            <w:pPr>
              <w:spacing w:after="200"/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:rsidR="00F2177A" w:rsidRDefault="00F2177A" w:rsidP="00AC04B4">
      <w:pPr>
        <w:jc w:val="both"/>
        <w:rPr>
          <w:rFonts w:ascii="Arial" w:eastAsia="Times New Roman" w:hAnsi="Arial" w:cs="Arial"/>
          <w:b/>
          <w:lang w:bidi="sa-IN"/>
        </w:rPr>
      </w:pPr>
      <w:bookmarkStart w:id="0" w:name="_GoBack"/>
      <w:bookmarkEnd w:id="0"/>
    </w:p>
    <w:sectPr w:rsidR="00F2177A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3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24D768B" wp14:editId="00C982F9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2177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C04B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C04B4" w:rsidRPr="00AC04B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2177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OHJE-2013-00430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2177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2177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  <w:r w:rsidR="008B28FD">
                <w:rPr>
                  <w:rFonts w:ascii="Arial" w:hAnsi="Arial" w:cs="Arial"/>
                </w:rPr>
                <w:t xml:space="preserve"> C4230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C04B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C04B4">
            <w:rPr>
              <w:rFonts w:ascii="Arial" w:hAnsi="Arial" w:cs="Arial"/>
              <w:noProof/>
            </w:rPr>
            <w:instrText>3.6.2020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C04B4">
            <w:rPr>
              <w:rFonts w:ascii="Arial" w:hAnsi="Arial" w:cs="Arial"/>
              <w:noProof/>
            </w:rPr>
            <w:t>3.6.2020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F2BAD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F3A"/>
    <w:multiLevelType w:val="multilevel"/>
    <w:tmpl w:val="2B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A740BE2"/>
    <w:multiLevelType w:val="hybridMultilevel"/>
    <w:tmpl w:val="CF127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0490"/>
    <w:multiLevelType w:val="multilevel"/>
    <w:tmpl w:val="84A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F2761"/>
    <w:multiLevelType w:val="hybridMultilevel"/>
    <w:tmpl w:val="D5825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CAF1F34"/>
    <w:multiLevelType w:val="multilevel"/>
    <w:tmpl w:val="73E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395208"/>
    <w:multiLevelType w:val="multilevel"/>
    <w:tmpl w:val="6EF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E3592"/>
    <w:multiLevelType w:val="multilevel"/>
    <w:tmpl w:val="B95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201A6"/>
    <w:multiLevelType w:val="multilevel"/>
    <w:tmpl w:val="ECD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2BA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84657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B28FD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9F16D0"/>
    <w:rsid w:val="00A0035E"/>
    <w:rsid w:val="00A07EFA"/>
    <w:rsid w:val="00A4286E"/>
    <w:rsid w:val="00A4358A"/>
    <w:rsid w:val="00A4679B"/>
    <w:rsid w:val="00A46D2E"/>
    <w:rsid w:val="00A6213E"/>
    <w:rsid w:val="00AA7A43"/>
    <w:rsid w:val="00AB4AB8"/>
    <w:rsid w:val="00AC04B4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2177A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5EFC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27E731-6F2E-4EB6-967F-C0E5ACF8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400B4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0B4"/>
  </w:style>
  <w:style w:type="paragraph" w:customStyle="1" w:styleId="C1541D87823E4C74A35574A5310D58A9">
    <w:name w:val="C1541D87823E4C74A35574A5310D58A9"/>
  </w:style>
  <w:style w:type="paragraph" w:customStyle="1" w:styleId="A52374F52CFF43968DAEE2FE7D3C8C00">
    <w:name w:val="A52374F52CFF43968DAEE2FE7D3C8C00"/>
    <w:rsid w:val="00840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283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OHJE-2013-00430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Ruokavalio-ohje PET/TT-tutkimusta varten</gbs:Title>
  <gbs:CF_instructiondescription gbs:loadFromGrowBusiness="OnEdit" gbs:saveInGrowBusiness="False" gbs:connected="true" gbs:recno="" gbs:entity="" gbs:datatype="note" gbs:key="10004" gbs:removeContentControl="0">Ohje tutkimukseen valmistautumiseen, sisältää dieettiohjeen ja ateriapäiväkirjan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7C0263D-94E9-425A-94E1-92F4FE6D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Sormunen Santtu</dc:creator>
  <dc:description>Doha ohjemalli 18.2.2013</dc:description>
  <cp:lastModifiedBy>Niemelä Liisa</cp:lastModifiedBy>
  <cp:revision>3</cp:revision>
  <cp:lastPrinted>2013-09-13T06:29:00Z</cp:lastPrinted>
  <dcterms:created xsi:type="dcterms:W3CDTF">2020-06-03T05:07:00Z</dcterms:created>
  <dcterms:modified xsi:type="dcterms:W3CDTF">2020-06-03T05:07:00Z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Ruokavalio-ohje PET/TT-tutkimusta varten</vt:lpwstr>
  </property>
  <property fmtid="{D5CDD505-2E9C-101B-9397-08002B2CF9AE}" pid="6" name="docId">
    <vt:lpwstr>202832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Sormunen Santtu</vt:lpwstr>
  </property>
  <property fmtid="{D5CDD505-2E9C-101B-9397-08002B2CF9AE}" pid="15" name="modifiedBy">
    <vt:lpwstr>Sormunen Santtu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314015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389776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OHJE-2013-00430 Ruokavalio-ohje PET-TT-tutkimusta varten 389776_314015_0.DOCX</vt:lpwstr>
  </property>
  <property fmtid="{D5CDD505-2E9C-101B-9397-08002B2CF9AE}" pid="29" name="FullFileName">
    <vt:lpwstr>\\Z10099\D360_Work_tuotanto\work\shp\niemelal\OHJE-2013-00430 Ruokavalio-ohje PET-TT-tutkimusta varten 389776_314015_0.DOCX</vt:lpwstr>
  </property>
</Properties>
</file>