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4147CA" w:rsidP="002D7B59">
          <w:pPr>
            <w:pStyle w:val="Otsikko10"/>
            <w:rPr>
              <w:lang w:val="en-US"/>
            </w:rPr>
          </w:pPr>
          <w:r>
            <w:t>Säärityngän sitominen</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4147CA" w:rsidP="00871A83">
                <w:r>
                  <w:t>Tyngän sitomisen tavoitteita ovat, että tyngän turvotus estyy, kipu vähenee, tynkä tottuu sietämään painetta, muotoutuu proteesille sopivaksi ja aavesärky helpottuu.</w:t>
                </w:r>
              </w:p>
            </w:sdtContent>
          </w:sdt>
        </w:tc>
      </w:tr>
    </w:tbl>
    <w:p w:rsidR="00871A83" w:rsidRDefault="00871A83" w:rsidP="00871A83"/>
    <w:p w:rsidR="004147CA" w:rsidRPr="004147CA" w:rsidRDefault="004147CA" w:rsidP="004147CA">
      <w:pPr>
        <w:spacing w:after="200"/>
        <w:contextualSpacing/>
      </w:pPr>
      <w:r w:rsidRPr="004147CA">
        <w:rPr>
          <w:rFonts w:ascii="Arial" w:hAnsi="Arial" w:cs="Arial"/>
        </w:rPr>
        <w:t>Tyngässä olevat haavat tulee suojata haavasidoksilla. Tynkä sidotaan ompeleiden poistoon saakka löysemmin. A</w:t>
      </w:r>
      <w:r w:rsidRPr="004147CA">
        <w:t xml:space="preserve">loita sidonta tyngän päästä kuvan osoittamalla tavalla. Sido tynkä polvi suorana ja jätä lumpion kohta sitomatta, jotta polven taivuttaminen onnistuu sujuvasti. Sidos on kireimmillään tyngän päässä ja polven yläpuolinen sidos ainoastaan pitämässä sidosta paikallaan. </w:t>
      </w:r>
    </w:p>
    <w:p w:rsidR="004147CA" w:rsidRPr="004147CA" w:rsidRDefault="004147CA" w:rsidP="004147CA">
      <w:pPr>
        <w:spacing w:after="200"/>
        <w:contextualSpacing/>
      </w:pPr>
    </w:p>
    <w:p w:rsidR="004147CA" w:rsidRPr="004147CA" w:rsidRDefault="004147CA" w:rsidP="004147CA">
      <w:pPr>
        <w:spacing w:after="200"/>
        <w:contextualSpacing/>
        <w:rPr>
          <w:rFonts w:ascii="Arial" w:hAnsi="Arial" w:cs="Arial"/>
        </w:rPr>
      </w:pPr>
      <w:r w:rsidRPr="004147CA">
        <w:rPr>
          <w:rFonts w:ascii="Arial" w:hAnsi="Arial" w:cs="Arial"/>
        </w:rPr>
        <w:t>Tynkää sidotaan niin kauan, kun siinä esiintyy turvotusta tai kunnes tyngän koko pysyy muuttumatt</w:t>
      </w:r>
      <w:r w:rsidRPr="004147CA">
        <w:rPr>
          <w:rFonts w:ascii="Arial" w:hAnsi="Arial" w:cs="Arial"/>
        </w:rPr>
        <w:t>o</w:t>
      </w:r>
      <w:r w:rsidRPr="004147CA">
        <w:rPr>
          <w:rFonts w:ascii="Arial" w:hAnsi="Arial" w:cs="Arial"/>
        </w:rPr>
        <w:t>mana. Tyngän tulee olla sidottuna mahdollisimman paljon, mutta kuitenkin enimmillään 8 tuntia yht</w:t>
      </w:r>
      <w:r w:rsidRPr="004147CA">
        <w:rPr>
          <w:rFonts w:ascii="Arial" w:hAnsi="Arial" w:cs="Arial"/>
        </w:rPr>
        <w:t>ä</w:t>
      </w:r>
      <w:r w:rsidRPr="004147CA">
        <w:rPr>
          <w:rFonts w:ascii="Arial" w:hAnsi="Arial" w:cs="Arial"/>
        </w:rPr>
        <w:t>jaksoisesti. Sidonta olisi hyvä uusia muutaman kerran päivässä ja antaa tyngälle ”ilmakylpyjä” sido</w:t>
      </w:r>
      <w:r w:rsidRPr="004147CA">
        <w:rPr>
          <w:rFonts w:ascii="Arial" w:hAnsi="Arial" w:cs="Arial"/>
        </w:rPr>
        <w:t>n</w:t>
      </w:r>
      <w:r w:rsidRPr="004147CA">
        <w:rPr>
          <w:rFonts w:ascii="Arial" w:hAnsi="Arial" w:cs="Arial"/>
        </w:rPr>
        <w:t>tojen välissä. Ompeleiden poiston jälkeen sidonta voidaan korvata erityisellä joustosukalla.</w:t>
      </w:r>
    </w:p>
    <w:p w:rsidR="004147CA" w:rsidRPr="004147CA" w:rsidRDefault="004147CA" w:rsidP="004147CA">
      <w:pPr>
        <w:spacing w:after="200"/>
        <w:contextualSpacing/>
      </w:pPr>
    </w:p>
    <w:p w:rsidR="004147CA" w:rsidRPr="004147CA" w:rsidRDefault="004147CA" w:rsidP="004147CA">
      <w:pPr>
        <w:jc w:val="center"/>
        <w:rPr>
          <w:rFonts w:ascii="Arial" w:hAnsi="Arial"/>
        </w:rPr>
      </w:pPr>
      <w:r w:rsidRPr="004147CA">
        <w:rPr>
          <w:rFonts w:ascii="Arial" w:hAnsi="Arial"/>
          <w:noProof/>
          <w:lang w:eastAsia="fi-FI"/>
        </w:rPr>
        <w:drawing>
          <wp:inline distT="0" distB="0" distL="0" distR="0" wp14:anchorId="24B171F5" wp14:editId="466D8C76">
            <wp:extent cx="1318260" cy="22860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2286000"/>
                    </a:xfrm>
                    <a:prstGeom prst="rect">
                      <a:avLst/>
                    </a:prstGeom>
                    <a:noFill/>
                    <a:ln>
                      <a:noFill/>
                    </a:ln>
                  </pic:spPr>
                </pic:pic>
              </a:graphicData>
            </a:graphic>
          </wp:inline>
        </w:drawing>
      </w:r>
      <w:r w:rsidRPr="004147CA">
        <w:rPr>
          <w:rFonts w:ascii="Arial" w:hAnsi="Arial"/>
          <w:noProof/>
          <w:lang w:eastAsia="fi-FI"/>
        </w:rPr>
        <w:drawing>
          <wp:inline distT="0" distB="0" distL="0" distR="0" wp14:anchorId="73B25724" wp14:editId="1BC5FCD6">
            <wp:extent cx="1402080" cy="2286000"/>
            <wp:effectExtent l="0" t="0" r="762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2286000"/>
                    </a:xfrm>
                    <a:prstGeom prst="rect">
                      <a:avLst/>
                    </a:prstGeom>
                    <a:noFill/>
                    <a:ln>
                      <a:noFill/>
                    </a:ln>
                  </pic:spPr>
                </pic:pic>
              </a:graphicData>
            </a:graphic>
          </wp:inline>
        </w:drawing>
      </w:r>
      <w:r w:rsidRPr="004147CA">
        <w:rPr>
          <w:rFonts w:ascii="Arial" w:hAnsi="Arial"/>
          <w:noProof/>
          <w:lang w:eastAsia="fi-FI"/>
        </w:rPr>
        <w:drawing>
          <wp:inline distT="0" distB="0" distL="0" distR="0" wp14:anchorId="158161DB" wp14:editId="1F93C64F">
            <wp:extent cx="1409700" cy="2278380"/>
            <wp:effectExtent l="0" t="0" r="0" b="762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2278380"/>
                    </a:xfrm>
                    <a:prstGeom prst="rect">
                      <a:avLst/>
                    </a:prstGeom>
                    <a:noFill/>
                    <a:ln>
                      <a:noFill/>
                    </a:ln>
                  </pic:spPr>
                </pic:pic>
              </a:graphicData>
            </a:graphic>
          </wp:inline>
        </w:drawing>
      </w:r>
      <w:r w:rsidRPr="004147CA">
        <w:rPr>
          <w:rFonts w:ascii="Arial" w:hAnsi="Arial"/>
          <w:noProof/>
          <w:lang w:eastAsia="fi-FI"/>
        </w:rPr>
        <w:drawing>
          <wp:inline distT="0" distB="0" distL="0" distR="0" wp14:anchorId="032B7D93" wp14:editId="367D1EB5">
            <wp:extent cx="1402080" cy="2286000"/>
            <wp:effectExtent l="0" t="0" r="762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2080" cy="2286000"/>
                    </a:xfrm>
                    <a:prstGeom prst="rect">
                      <a:avLst/>
                    </a:prstGeom>
                    <a:noFill/>
                    <a:ln>
                      <a:noFill/>
                    </a:ln>
                  </pic:spPr>
                </pic:pic>
              </a:graphicData>
            </a:graphic>
          </wp:inline>
        </w:drawing>
      </w:r>
      <w:r w:rsidRPr="004147CA">
        <w:rPr>
          <w:rFonts w:ascii="Arial" w:hAnsi="Arial"/>
          <w:noProof/>
          <w:lang w:eastAsia="fi-FI"/>
        </w:rPr>
        <w:drawing>
          <wp:inline distT="0" distB="0" distL="0" distR="0" wp14:anchorId="790FE955" wp14:editId="72776214">
            <wp:extent cx="1318260" cy="22479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2247900"/>
                    </a:xfrm>
                    <a:prstGeom prst="rect">
                      <a:avLst/>
                    </a:prstGeom>
                    <a:noFill/>
                    <a:ln>
                      <a:noFill/>
                    </a:ln>
                  </pic:spPr>
                </pic:pic>
              </a:graphicData>
            </a:graphic>
          </wp:inline>
        </w:drawing>
      </w:r>
      <w:r w:rsidRPr="004147CA">
        <w:rPr>
          <w:rFonts w:ascii="Arial" w:hAnsi="Arial"/>
          <w:noProof/>
          <w:lang w:eastAsia="fi-FI"/>
        </w:rPr>
        <w:drawing>
          <wp:inline distT="0" distB="0" distL="0" distR="0" wp14:anchorId="68FA9160" wp14:editId="6FA7F04E">
            <wp:extent cx="2049780" cy="2240280"/>
            <wp:effectExtent l="0" t="0" r="762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2240280"/>
                    </a:xfrm>
                    <a:prstGeom prst="rect">
                      <a:avLst/>
                    </a:prstGeom>
                    <a:noFill/>
                    <a:ln>
                      <a:noFill/>
                    </a:ln>
                  </pic:spPr>
                </pic:pic>
              </a:graphicData>
            </a:graphic>
          </wp:inline>
        </w:drawing>
      </w:r>
    </w:p>
    <w:p w:rsidR="004147CA" w:rsidRPr="004147CA" w:rsidRDefault="004147CA" w:rsidP="004147CA">
      <w:pPr>
        <w:jc w:val="center"/>
      </w:pPr>
      <w:r w:rsidRPr="004147CA">
        <w:rPr>
          <w:rFonts w:ascii="Arial" w:hAnsi="Arial"/>
        </w:rPr>
        <w:t>Piirrokset: Suomen ortotiikka &amp; protetiikka</w:t>
      </w:r>
    </w:p>
    <w:p w:rsidR="009B4A3D" w:rsidRPr="004147CA" w:rsidRDefault="009B4A3D" w:rsidP="004147CA">
      <w:pPr>
        <w:pStyle w:val="KappaleC1"/>
        <w:ind w:left="0"/>
      </w:pPr>
    </w:p>
    <w:sectPr w:rsidR="009B4A3D" w:rsidRPr="004147CA" w:rsidSect="009B4A3D">
      <w:headerReference w:type="even" r:id="rId19"/>
      <w:headerReference w:type="default" r:id="rId20"/>
      <w:footerReference w:type="even" r:id="rId21"/>
      <w:footerReference w:type="default" r:id="rId22"/>
      <w:headerReference w:type="first" r:id="rId23"/>
      <w:footerReference w:type="first" r:id="rId2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7AA6198D" wp14:editId="512F25CA">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4147CA"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17CB1">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017CB1" w:rsidRPr="00017CB1">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4147CA" w:rsidP="00C25FBA">
              <w:pPr>
                <w:rPr>
                  <w:rFonts w:ascii="Arial" w:hAnsi="Arial" w:cs="Arial"/>
                </w:rPr>
              </w:pPr>
              <w:r>
                <w:rPr>
                  <w:rFonts w:ascii="Arial" w:hAnsi="Arial" w:cs="Arial"/>
                </w:rPr>
                <w:t>OHJE-2016-00217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4147CA"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4147CA" w:rsidP="00F71322">
              <w:pPr>
                <w:rPr>
                  <w:rFonts w:ascii="Arial" w:hAnsi="Arial" w:cs="Arial"/>
                </w:rPr>
              </w:pPr>
              <w:r>
                <w:rPr>
                  <w:rFonts w:ascii="Arial" w:hAnsi="Arial" w:cs="Arial"/>
                </w:rPr>
                <w:t>Fysiatrian osasto Puijo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147CA">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17CB1">
            <w:rPr>
              <w:rFonts w:ascii="Arial" w:hAnsi="Arial" w:cs="Arial"/>
              <w:noProof/>
            </w:rPr>
            <w:instrText>7.9.2017</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17CB1">
            <w:rPr>
              <w:rFonts w:ascii="Arial" w:hAnsi="Arial" w:cs="Arial"/>
              <w:noProof/>
            </w:rPr>
            <w:t>7.9.2017</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17CB1">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nsid w:val="3CB93CB3"/>
    <w:multiLevelType w:val="multilevel"/>
    <w:tmpl w:val="E5D6D534"/>
    <w:numStyleLink w:val="IstMerkittyluetteloC0"/>
  </w:abstractNum>
  <w:abstractNum w:abstractNumId="3">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18D0E02"/>
    <w:multiLevelType w:val="multilevel"/>
    <w:tmpl w:val="8E10770E"/>
    <w:numStyleLink w:val="IstmerkittyluetteloC1"/>
  </w:abstractNum>
  <w:abstractNum w:abstractNumId="6">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17CB1"/>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47CA"/>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62114068">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4288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OHJE-2016-00217</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Säärityngän sitominen</gbs:Title>
  <gbs:CF_instructiondescription gbs:loadFromGrowBusiness="OnEdit" gbs:saveInGrowBusiness="False" gbs:connected="true" gbs:recno="" gbs:entity="" gbs:datatype="note" gbs:key="10004" gbs:removeContentControl="0">Tyngän sitomisen tavoitteita ovat, että tyngän turvotus estyy, kipu vähenee, tynkä tottuu sietämään painetta, muotoutuu proteesille sopivaksi ja aavesärky helpottuu.</gbs:CF_instructiondescription>
  <gbs:ToActivityContactJOINEX.Name gbs:loadFromGrowBusiness="OnProduce" gbs:saveInGrowBusiness="False" gbs:connected="true" gbs:recno="" gbs:entity="" gbs:datatype="string" gbs:key="10005" gbs:removeContentControl="0" gbs:joinex="[JOINEX=[ToRole] {!OJEX!}=100008]">Fysiatrian osasto Puijo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E6B10ADE-D629-47C9-B96E-47208F2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910</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Seppänen Merja</dc:creator>
  <dc:description>Doha ohjemalli 18.2.2013</dc:description>
  <cp:lastModifiedBy>Seppänen Merja</cp:lastModifiedBy>
  <cp:revision>2</cp:revision>
  <cp:lastPrinted>2013-09-13T06:29:00Z</cp:lastPrinted>
  <dcterms:created xsi:type="dcterms:W3CDTF">2017-09-07T09:27:00Z</dcterms:created>
  <dcterms:modified xsi:type="dcterms:W3CDTF">2017-09-07T09:27:00Z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\\shp\dfs\D360\Tuotanto\D360_Work\onenote\shp\merjava\</vt:lpwstr>
  </property>
  <property fmtid="{D5CDD505-2E9C-101B-9397-08002B2CF9AE}" pid="5" name="comment">
    <vt:lpwstr>Säärityngän sitominen</vt:lpwstr>
  </property>
  <property fmtid="{D5CDD505-2E9C-101B-9397-08002B2CF9AE}" pid="6" name="docId">
    <vt:lpwstr>242880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Seppänen Merja</vt:lpwstr>
  </property>
  <property fmtid="{D5CDD505-2E9C-101B-9397-08002B2CF9AE}" pid="15" name="modifiedBy">
    <vt:lpwstr>Seppänen Merja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253258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279372</vt:lpwstr>
  </property>
  <property fmtid="{D5CDD505-2E9C-101B-9397-08002B2CF9AE}" pid="26" name="VerID">
    <vt:lpwstr>0</vt:lpwstr>
  </property>
  <property fmtid="{D5CDD505-2E9C-101B-9397-08002B2CF9AE}" pid="27" name="FilePath">
    <vt:lpwstr>\\Z10099\D360_Work_tuotanto\work\shp\merjava</vt:lpwstr>
  </property>
  <property fmtid="{D5CDD505-2E9C-101B-9397-08002B2CF9AE}" pid="28" name="FileName">
    <vt:lpwstr>OHJE-2016-00217 Säärityngän sitominen 279372_253258_0.DOCX</vt:lpwstr>
  </property>
  <property fmtid="{D5CDD505-2E9C-101B-9397-08002B2CF9AE}" pid="29" name="FullFileName">
    <vt:lpwstr>\\Z10099\D360_Work_tuotanto\work\shp\merjava\OHJE-2016-00217 Säärityngän sitominen 279372_253258_0.DOCX</vt:lpwstr>
  </property>
</Properties>
</file>