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83" w:rsidRPr="00C91D3E" w:rsidRDefault="00AA5E73" w:rsidP="002D7B59">
      <w:pPr>
        <w:pStyle w:val="Otsikko10"/>
        <w:rPr>
          <w:lang w:val="en-US"/>
        </w:rPr>
      </w:pPr>
      <w:r>
        <w:t xml:space="preserve"> </w:t>
      </w:r>
      <w:sdt>
        <w:sdtPr>
          <w:tag w:val="Title"/>
          <w:id w:val="10003"/>
          <w:placeholder>
            <w:docPart w:val="C1541D87823E4C74A35574A5310D58A9"/>
          </w:placeholder>
          <w:dataBinding w:prefixMappings="xmlns:gbs='http://www.software-innovation.no/growBusinessDocument'" w:xpath="/gbs:GrowBusinessDocument/gbs:Title[@gbs:key='10003']" w:storeItemID="{DACC913A-28E9-48B9-9B3A-14A2D733BB95}"/>
          <w:text/>
        </w:sdtPr>
        <w:sdtEndPr/>
        <w:sdtContent>
          <w:r w:rsidR="004B0A19">
            <w:t xml:space="preserve"> </w:t>
          </w:r>
          <w:proofErr w:type="spellStart"/>
          <w:r w:rsidR="004B0A19">
            <w:t>Enterografia</w:t>
          </w:r>
          <w:proofErr w:type="spellEnd"/>
          <w:r w:rsidR="004B0A19">
            <w:t xml:space="preserve"> -tietokonetomografiatutkimus </w:t>
          </w:r>
        </w:sdtContent>
      </w:sdt>
    </w:p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26435D" w:rsidP="00871A83">
                <w:proofErr w:type="spellStart"/>
                <w:r>
                  <w:t>Enterografia</w:t>
                </w:r>
                <w:proofErr w:type="spellEnd"/>
                <w:r>
                  <w:t xml:space="preserve"> - suolistonalueen kerroskuvaus</w:t>
                </w:r>
              </w:p>
            </w:sdtContent>
          </w:sdt>
        </w:tc>
      </w:tr>
    </w:tbl>
    <w:p w:rsidR="00871A83" w:rsidRDefault="00871A83" w:rsidP="00871A83"/>
    <w:p w:rsidR="00625DDA" w:rsidRDefault="00625DDA" w:rsidP="00625DDA">
      <w:pPr>
        <w:pStyle w:val="Vaintekstin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8852D6" w:rsidRDefault="008852D6" w:rsidP="00625DDA">
      <w:pPr>
        <w:pStyle w:val="Vaintekstin"/>
        <w:rPr>
          <w:rFonts w:ascii="Arial" w:hAnsi="Arial" w:cs="Arial"/>
          <w:b/>
          <w:sz w:val="22"/>
        </w:rPr>
      </w:pPr>
    </w:p>
    <w:p w:rsidR="008852D6" w:rsidRDefault="008852D6" w:rsidP="008852D6">
      <w:pPr>
        <w:pStyle w:val="KappaleC2"/>
      </w:pPr>
      <w:r w:rsidRPr="008852D6">
        <w:t>Sinulle on va</w:t>
      </w:r>
      <w:r>
        <w:t>rattu aika</w:t>
      </w:r>
      <w:r w:rsidR="001F1173">
        <w:t xml:space="preserve"> ohutsuolen</w:t>
      </w:r>
      <w:r>
        <w:t xml:space="preserve"> tietokonetomografiat</w:t>
      </w:r>
      <w:r w:rsidRPr="008852D6">
        <w:t>utkimuk</w:t>
      </w:r>
      <w:r>
        <w:t xml:space="preserve">seen. </w:t>
      </w:r>
    </w:p>
    <w:p w:rsidR="00625DDA" w:rsidRDefault="00625DDA" w:rsidP="008852D6">
      <w:pPr>
        <w:pStyle w:val="KappaleC2"/>
      </w:pPr>
      <w:r w:rsidRPr="008852D6">
        <w:t>K</w:t>
      </w:r>
      <w:r w:rsidR="008852D6">
        <w:t>äy</w:t>
      </w:r>
      <w:r>
        <w:t xml:space="preserve"> verikokeessa </w:t>
      </w:r>
      <w:r w:rsidRPr="003A19AA">
        <w:rPr>
          <w:b/>
        </w:rPr>
        <w:t>ajanvarauskirjeen ohjeen mukaisesti</w:t>
      </w:r>
      <w:r>
        <w:t xml:space="preserve"> 2-28 päivää</w:t>
      </w:r>
    </w:p>
    <w:p w:rsidR="00625DDA" w:rsidRDefault="00625DDA" w:rsidP="008852D6">
      <w:pPr>
        <w:pStyle w:val="KappaleC2"/>
      </w:pPr>
      <w:r>
        <w:t>ennen tietokonetomografiatutkimusta.</w:t>
      </w:r>
    </w:p>
    <w:p w:rsidR="001F1173" w:rsidRDefault="001F1173" w:rsidP="008852D6">
      <w:pPr>
        <w:pStyle w:val="KappaleC2"/>
      </w:pPr>
    </w:p>
    <w:p w:rsidR="001F1173" w:rsidRDefault="001F1173" w:rsidP="008852D6">
      <w:pPr>
        <w:pStyle w:val="KappaleC2"/>
      </w:pPr>
      <w:r w:rsidRPr="001F1173">
        <w:rPr>
          <w:b/>
        </w:rPr>
        <w:t>Jos olet yliherkkä jodivarjoaineelle</w:t>
      </w:r>
      <w:r>
        <w:t>, kerro siitä mahdollisimman pian lääkärille, joka lähetti sinut tutkimukseen.</w:t>
      </w:r>
    </w:p>
    <w:p w:rsidR="001F1173" w:rsidRDefault="001F1173" w:rsidP="008852D6">
      <w:pPr>
        <w:pStyle w:val="KappaleC2"/>
      </w:pPr>
    </w:p>
    <w:p w:rsidR="001F1173" w:rsidRDefault="001F1173" w:rsidP="008852D6">
      <w:pPr>
        <w:pStyle w:val="KappaleC2"/>
      </w:pPr>
      <w:r w:rsidRPr="001F1173">
        <w:rPr>
          <w:b/>
        </w:rPr>
        <w:t>Jos olet raskaana tai epäilet olevasi raskaana</w:t>
      </w:r>
      <w:r>
        <w:t>, kerro siitä mahdollisimman pian lääkärille, joka lähetti sinut tutkimukseen.</w:t>
      </w:r>
    </w:p>
    <w:p w:rsidR="001D0C6B" w:rsidRDefault="001D0C6B" w:rsidP="00625DDA">
      <w:pPr>
        <w:pStyle w:val="Vaintekstin"/>
        <w:ind w:left="2610"/>
        <w:rPr>
          <w:rFonts w:ascii="Arial" w:hAnsi="Arial" w:cs="Arial"/>
          <w:sz w:val="22"/>
        </w:rPr>
      </w:pPr>
    </w:p>
    <w:p w:rsidR="00625DDA" w:rsidRDefault="00625DDA" w:rsidP="001D0C6B">
      <w:pPr>
        <w:pStyle w:val="Vaintekstin"/>
        <w:ind w:left="2610"/>
        <w:rPr>
          <w:rFonts w:ascii="Arial" w:hAnsi="Arial" w:cs="Arial"/>
          <w:sz w:val="22"/>
          <w:szCs w:val="22"/>
        </w:rPr>
      </w:pPr>
      <w:r w:rsidRPr="001D0C6B">
        <w:rPr>
          <w:rFonts w:ascii="Arial" w:hAnsi="Arial" w:cs="Arial"/>
          <w:sz w:val="22"/>
          <w:szCs w:val="22"/>
        </w:rPr>
        <w:t>Lä</w:t>
      </w:r>
      <w:r w:rsidR="008852D6">
        <w:rPr>
          <w:rFonts w:ascii="Arial" w:hAnsi="Arial" w:cs="Arial"/>
          <w:sz w:val="22"/>
          <w:szCs w:val="22"/>
        </w:rPr>
        <w:t>äkärin määräämät lääkkeet saat ottaa, mutta mikäli käytät</w:t>
      </w:r>
      <w:r w:rsidRPr="001D0C6B">
        <w:rPr>
          <w:rFonts w:ascii="Arial" w:hAnsi="Arial" w:cs="Arial"/>
          <w:sz w:val="22"/>
          <w:szCs w:val="22"/>
        </w:rPr>
        <w:t xml:space="preserve"> jotakin </w:t>
      </w:r>
      <w:proofErr w:type="spellStart"/>
      <w:r w:rsidR="001D0C6B" w:rsidRPr="001D0C6B">
        <w:rPr>
          <w:rFonts w:ascii="Arial" w:hAnsi="Arial" w:cs="Arial"/>
          <w:sz w:val="22"/>
          <w:szCs w:val="22"/>
        </w:rPr>
        <w:t>metformiinia</w:t>
      </w:r>
      <w:proofErr w:type="spellEnd"/>
      <w:r w:rsidR="001D0C6B" w:rsidRPr="001D0C6B">
        <w:rPr>
          <w:rFonts w:ascii="Arial" w:hAnsi="Arial" w:cs="Arial"/>
          <w:sz w:val="22"/>
          <w:szCs w:val="22"/>
        </w:rPr>
        <w:t xml:space="preserve"> </w:t>
      </w:r>
      <w:r w:rsidR="001D0C6B" w:rsidRPr="001D0C6B">
        <w:rPr>
          <w:rFonts w:ascii="Arial" w:hAnsi="Arial" w:cs="Arial"/>
          <w:b/>
          <w:sz w:val="22"/>
          <w:szCs w:val="22"/>
        </w:rPr>
        <w:t>(</w:t>
      </w:r>
      <w:proofErr w:type="spellStart"/>
      <w:r w:rsidR="001D0C6B" w:rsidRPr="001D0C6B">
        <w:rPr>
          <w:rFonts w:ascii="Arial" w:hAnsi="Arial" w:cs="Arial"/>
          <w:b/>
          <w:sz w:val="22"/>
          <w:szCs w:val="22"/>
        </w:rPr>
        <w:t>metformin</w:t>
      </w:r>
      <w:proofErr w:type="spellEnd"/>
      <w:r w:rsidR="001D0C6B" w:rsidRPr="001D0C6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D0C6B" w:rsidRPr="001D0C6B">
        <w:rPr>
          <w:rFonts w:ascii="Arial" w:hAnsi="Arial" w:cs="Arial"/>
          <w:b/>
          <w:sz w:val="22"/>
          <w:szCs w:val="22"/>
        </w:rPr>
        <w:t>hydrochlorid</w:t>
      </w:r>
      <w:proofErr w:type="spellEnd"/>
      <w:r w:rsidR="001D0C6B" w:rsidRPr="001D0C6B">
        <w:rPr>
          <w:rFonts w:ascii="Arial" w:hAnsi="Arial" w:cs="Arial"/>
          <w:b/>
          <w:sz w:val="22"/>
          <w:szCs w:val="22"/>
        </w:rPr>
        <w:t xml:space="preserve">) </w:t>
      </w:r>
      <w:r w:rsidR="001D0C6B" w:rsidRPr="001D0C6B">
        <w:rPr>
          <w:rFonts w:ascii="Arial" w:hAnsi="Arial" w:cs="Arial"/>
          <w:sz w:val="22"/>
          <w:szCs w:val="22"/>
        </w:rPr>
        <w:t>sisältävää</w:t>
      </w:r>
      <w:r w:rsidR="001D0C6B" w:rsidRPr="001D0C6B">
        <w:rPr>
          <w:rFonts w:ascii="Arial" w:hAnsi="Arial" w:cs="Arial"/>
          <w:b/>
          <w:sz w:val="22"/>
          <w:szCs w:val="22"/>
        </w:rPr>
        <w:t>,</w:t>
      </w:r>
      <w:r w:rsidRPr="001D0C6B">
        <w:rPr>
          <w:rFonts w:ascii="Arial" w:hAnsi="Arial" w:cs="Arial"/>
          <w:sz w:val="22"/>
          <w:szCs w:val="22"/>
        </w:rPr>
        <w:t xml:space="preserve"> suun kautta naut</w:t>
      </w:r>
      <w:r w:rsidR="001D0C6B">
        <w:rPr>
          <w:rFonts w:ascii="Arial" w:hAnsi="Arial" w:cs="Arial"/>
          <w:sz w:val="22"/>
          <w:szCs w:val="22"/>
        </w:rPr>
        <w:t xml:space="preserve">ittavista sokeritautilääkettä, </w:t>
      </w:r>
      <w:r>
        <w:rPr>
          <w:rFonts w:ascii="Arial" w:hAnsi="Arial" w:cs="Arial"/>
          <w:sz w:val="22"/>
          <w:szCs w:val="22"/>
        </w:rPr>
        <w:t xml:space="preserve">keskustelkaa hoitavan </w:t>
      </w:r>
      <w:r w:rsidR="008852D6">
        <w:rPr>
          <w:rFonts w:ascii="Arial" w:hAnsi="Arial" w:cs="Arial"/>
          <w:sz w:val="22"/>
          <w:szCs w:val="22"/>
        </w:rPr>
        <w:t>lääkärin</w:t>
      </w:r>
      <w:r>
        <w:rPr>
          <w:rFonts w:ascii="Arial" w:hAnsi="Arial" w:cs="Arial"/>
          <w:sz w:val="22"/>
          <w:szCs w:val="22"/>
        </w:rPr>
        <w:t xml:space="preserve"> kanssa sokeritaudin hoidosta tutkimuksen aikana.</w:t>
      </w:r>
      <w:r w:rsidR="001D0C6B">
        <w:rPr>
          <w:rFonts w:ascii="Arial" w:hAnsi="Arial" w:cs="Arial"/>
          <w:sz w:val="22"/>
          <w:szCs w:val="22"/>
        </w:rPr>
        <w:t xml:space="preserve"> </w:t>
      </w:r>
      <w:r w:rsidR="008852D6">
        <w:rPr>
          <w:rFonts w:ascii="Arial" w:hAnsi="Arial" w:cs="Arial"/>
          <w:sz w:val="22"/>
          <w:szCs w:val="22"/>
        </w:rPr>
        <w:t>Jos sinulla</w:t>
      </w:r>
      <w:r>
        <w:rPr>
          <w:rFonts w:ascii="Arial" w:hAnsi="Arial" w:cs="Arial"/>
          <w:sz w:val="22"/>
          <w:szCs w:val="22"/>
        </w:rPr>
        <w:t xml:space="preserve"> on munuaisten vajaatoimintaa, niin kyseinen lääkitys voidaan joutua keskeyttämään.</w:t>
      </w:r>
    </w:p>
    <w:p w:rsidR="00625DDA" w:rsidRDefault="00625DDA" w:rsidP="00625DDA">
      <w:pPr>
        <w:pStyle w:val="Vaintekstin"/>
        <w:rPr>
          <w:rFonts w:ascii="Arial" w:hAnsi="Arial" w:cs="Arial"/>
          <w:sz w:val="22"/>
        </w:rPr>
      </w:pPr>
    </w:p>
    <w:p w:rsidR="00625DDA" w:rsidRDefault="00625DDA" w:rsidP="00625DDA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TUTKIMUSTA EDELTÄVÄNÄ PÄIVÄNÄ:</w:t>
      </w:r>
    </w:p>
    <w:p w:rsidR="00625DDA" w:rsidRDefault="008852D6" w:rsidP="00625DDA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-    saat</w:t>
      </w:r>
      <w:r w:rsidR="00625DDA">
        <w:rPr>
          <w:rFonts w:ascii="Arial" w:hAnsi="Arial" w:cs="Arial"/>
          <w:sz w:val="22"/>
        </w:rPr>
        <w:t xml:space="preserve"> syödä vähärasvaista ja vähäkuituista ruokaa (vaalea leipä,</w:t>
      </w:r>
    </w:p>
    <w:p w:rsidR="00625DDA" w:rsidRDefault="00625DDA" w:rsidP="00625DDA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mehukeitto, peruna, kala, kana)</w:t>
      </w:r>
    </w:p>
    <w:p w:rsidR="00625DDA" w:rsidRDefault="008852D6" w:rsidP="00625DDA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-    klo 16.00 jälkeen saat</w:t>
      </w:r>
      <w:r w:rsidR="00625DDA">
        <w:rPr>
          <w:rFonts w:ascii="Arial" w:hAnsi="Arial" w:cs="Arial"/>
          <w:sz w:val="22"/>
        </w:rPr>
        <w:t xml:space="preserve"> nauttia vain liemiruokia</w:t>
      </w:r>
    </w:p>
    <w:p w:rsidR="00625DDA" w:rsidRDefault="008852D6" w:rsidP="00625DDA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-    klo 18.00 ota</w:t>
      </w:r>
      <w:r w:rsidR="00625DDA">
        <w:rPr>
          <w:rFonts w:ascii="Arial" w:hAnsi="Arial" w:cs="Arial"/>
          <w:sz w:val="22"/>
        </w:rPr>
        <w:t xml:space="preserve"> suun kautta 3 kpl </w:t>
      </w:r>
      <w:proofErr w:type="spellStart"/>
      <w:r w:rsidR="00625DDA">
        <w:rPr>
          <w:rFonts w:ascii="Arial" w:hAnsi="Arial" w:cs="Arial"/>
          <w:sz w:val="22"/>
        </w:rPr>
        <w:t>Toilax</w:t>
      </w:r>
      <w:proofErr w:type="spellEnd"/>
      <w:r w:rsidR="00625DDA">
        <w:rPr>
          <w:rFonts w:ascii="Arial" w:hAnsi="Arial" w:cs="Arial"/>
          <w:sz w:val="22"/>
        </w:rPr>
        <w:t xml:space="preserve">-tabletteja  </w:t>
      </w:r>
    </w:p>
    <w:p w:rsidR="00625DDA" w:rsidRDefault="00625DDA" w:rsidP="00625DDA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(tai muu v</w:t>
      </w:r>
      <w:r w:rsidR="008852D6">
        <w:rPr>
          <w:rFonts w:ascii="Arial" w:hAnsi="Arial" w:cs="Arial"/>
          <w:sz w:val="22"/>
        </w:rPr>
        <w:t xml:space="preserve">astaava), </w:t>
      </w:r>
      <w:proofErr w:type="spellStart"/>
      <w:r w:rsidR="008852D6">
        <w:rPr>
          <w:rFonts w:ascii="Arial" w:hAnsi="Arial" w:cs="Arial"/>
          <w:sz w:val="22"/>
        </w:rPr>
        <w:t>Toilax</w:t>
      </w:r>
      <w:proofErr w:type="spellEnd"/>
      <w:r w:rsidR="008852D6">
        <w:rPr>
          <w:rFonts w:ascii="Arial" w:hAnsi="Arial" w:cs="Arial"/>
          <w:sz w:val="22"/>
        </w:rPr>
        <w:t>-tabletit saat</w:t>
      </w:r>
      <w:r>
        <w:rPr>
          <w:rFonts w:ascii="Arial" w:hAnsi="Arial" w:cs="Arial"/>
          <w:sz w:val="22"/>
        </w:rPr>
        <w:t xml:space="preserve"> apteekista </w:t>
      </w:r>
    </w:p>
    <w:p w:rsidR="00625DDA" w:rsidRDefault="008852D6" w:rsidP="00625DDA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-    juo</w:t>
      </w:r>
      <w:r w:rsidR="00625DDA">
        <w:rPr>
          <w:rFonts w:ascii="Arial" w:hAnsi="Arial" w:cs="Arial"/>
          <w:sz w:val="22"/>
        </w:rPr>
        <w:t xml:space="preserve"> runsaasti vettä ja mehua, jossa ei ole hedelmälihaa eikä siemeniä</w:t>
      </w:r>
    </w:p>
    <w:p w:rsidR="00625DDA" w:rsidRDefault="00625DDA" w:rsidP="00625DDA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625DDA" w:rsidRDefault="00625DDA" w:rsidP="00625DDA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TUTKIMUSPÄIVÄN AAMUNA:</w:t>
      </w:r>
    </w:p>
    <w:p w:rsidR="00625DDA" w:rsidRDefault="008852D6" w:rsidP="00625DDA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Sinun</w:t>
      </w:r>
      <w:r w:rsidR="00625DDA">
        <w:rPr>
          <w:rFonts w:ascii="Arial" w:hAnsi="Arial" w:cs="Arial"/>
          <w:sz w:val="22"/>
        </w:rPr>
        <w:t xml:space="preserve"> on oltava </w:t>
      </w:r>
      <w:r>
        <w:rPr>
          <w:rFonts w:ascii="Arial" w:hAnsi="Arial" w:cs="Arial"/>
          <w:sz w:val="22"/>
        </w:rPr>
        <w:t>syömättä ja tupakoimatta. Juo</w:t>
      </w:r>
      <w:r w:rsidR="00625DDA">
        <w:rPr>
          <w:rFonts w:ascii="Arial" w:hAnsi="Arial" w:cs="Arial"/>
          <w:sz w:val="22"/>
        </w:rPr>
        <w:t xml:space="preserve"> runsaasti vettä ja edel</w:t>
      </w:r>
      <w:r>
        <w:rPr>
          <w:rFonts w:ascii="Arial" w:hAnsi="Arial" w:cs="Arial"/>
          <w:sz w:val="22"/>
        </w:rPr>
        <w:t>lä mainittua mehua, niin ettet</w:t>
      </w:r>
      <w:r w:rsidR="00625DDA">
        <w:rPr>
          <w:rFonts w:ascii="Arial" w:hAnsi="Arial" w:cs="Arial"/>
          <w:sz w:val="22"/>
        </w:rPr>
        <w:t xml:space="preserve"> o</w:t>
      </w:r>
      <w:r>
        <w:rPr>
          <w:rFonts w:ascii="Arial" w:hAnsi="Arial" w:cs="Arial"/>
          <w:sz w:val="22"/>
        </w:rPr>
        <w:t>le janoinen ja kuiva tullessasi</w:t>
      </w:r>
      <w:r w:rsidR="00625DDA">
        <w:rPr>
          <w:rFonts w:ascii="Arial" w:hAnsi="Arial" w:cs="Arial"/>
          <w:sz w:val="22"/>
        </w:rPr>
        <w:t xml:space="preserve"> tutkimukseen.</w:t>
      </w:r>
    </w:p>
    <w:p w:rsidR="00625DDA" w:rsidRDefault="00625DDA" w:rsidP="00625DDA">
      <w:pPr>
        <w:pStyle w:val="Vaintekstin"/>
        <w:ind w:left="2608"/>
        <w:rPr>
          <w:rFonts w:ascii="Arial" w:hAnsi="Arial" w:cs="Arial"/>
          <w:sz w:val="22"/>
        </w:rPr>
      </w:pPr>
    </w:p>
    <w:p w:rsidR="00625DDA" w:rsidRDefault="00625DDA" w:rsidP="00093F5F">
      <w:pPr>
        <w:pStyle w:val="Vaintekstin"/>
        <w:rPr>
          <w:rFonts w:ascii="Arial" w:hAnsi="Arial" w:cs="Arial"/>
          <w:sz w:val="22"/>
        </w:rPr>
      </w:pPr>
    </w:p>
    <w:p w:rsidR="00625DDA" w:rsidRDefault="00625DDA" w:rsidP="00625DDA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625DDA" w:rsidRPr="008852D6" w:rsidRDefault="00625DDA" w:rsidP="00625DDA">
      <w:pPr>
        <w:pStyle w:val="Vaintekstin"/>
        <w:ind w:left="2608" w:hanging="2608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sz w:val="22"/>
        </w:rPr>
        <w:tab/>
      </w:r>
      <w:r w:rsidR="008852D6">
        <w:rPr>
          <w:rFonts w:ascii="Arial" w:hAnsi="Arial" w:cs="Arial"/>
          <w:sz w:val="22"/>
        </w:rPr>
        <w:t>Tule</w:t>
      </w:r>
      <w:r>
        <w:rPr>
          <w:rFonts w:ascii="Arial" w:hAnsi="Arial" w:cs="Arial"/>
          <w:sz w:val="22"/>
        </w:rPr>
        <w:t xml:space="preserve"> röntgeniin noin 1 tunti ennen suunnit</w:t>
      </w:r>
      <w:r w:rsidR="008852D6">
        <w:rPr>
          <w:rFonts w:ascii="Arial" w:hAnsi="Arial" w:cs="Arial"/>
          <w:sz w:val="22"/>
        </w:rPr>
        <w:t>eltua tutkimusaikaa</w:t>
      </w:r>
      <w:r w:rsidR="001F1173">
        <w:rPr>
          <w:rFonts w:asciiTheme="minorHAnsi" w:hAnsiTheme="minorHAnsi" w:cstheme="minorHAnsi"/>
          <w:sz w:val="22"/>
          <w:szCs w:val="22"/>
        </w:rPr>
        <w:t xml:space="preserve"> </w:t>
      </w:r>
      <w:r w:rsidR="001F1173" w:rsidRPr="001F1173">
        <w:rPr>
          <w:rFonts w:asciiTheme="minorHAnsi" w:hAnsiTheme="minorHAnsi" w:cstheme="minorHAnsi"/>
          <w:sz w:val="22"/>
          <w:szCs w:val="22"/>
        </w:rPr>
        <w:t>esivalmistelujen takia. Tutkimus kestää noin 15 minuuttia, mutta varjoaineen juomiseen tulee varata aikaa.</w:t>
      </w:r>
      <w:r w:rsidR="008852D6" w:rsidRPr="001F1173">
        <w:rPr>
          <w:rFonts w:asciiTheme="minorHAnsi" w:hAnsiTheme="minorHAnsi" w:cstheme="minorHAnsi"/>
          <w:sz w:val="22"/>
          <w:szCs w:val="22"/>
        </w:rPr>
        <w:t xml:space="preserve"> </w:t>
      </w:r>
      <w:r w:rsidR="008852D6" w:rsidRPr="008852D6">
        <w:rPr>
          <w:rFonts w:asciiTheme="minorHAnsi" w:hAnsiTheme="minorHAnsi" w:cstheme="minorHAnsi"/>
          <w:sz w:val="22"/>
          <w:szCs w:val="22"/>
        </w:rPr>
        <w:t>Ennen tutkimusta sinun tulee juoda 45 minuutin ajan varjoainetta, jonka saat röntgenistä. Varjoaine ei sisällä jodia. Tarkoituksena on saada koko ohutsuoli täyttymään liuoksella.</w:t>
      </w:r>
    </w:p>
    <w:p w:rsidR="00AA5E73" w:rsidRDefault="008852D6" w:rsidP="00AA5E7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Sinulle </w:t>
      </w:r>
      <w:r w:rsidR="00625DDA">
        <w:rPr>
          <w:rFonts w:ascii="Arial" w:hAnsi="Arial" w:cs="Arial"/>
          <w:sz w:val="22"/>
        </w:rPr>
        <w:t>tarjotaan juotavaa seuraavasti:</w:t>
      </w:r>
    </w:p>
    <w:p w:rsidR="003649B3" w:rsidRDefault="003649B3" w:rsidP="00AA5E73">
      <w:pPr>
        <w:pStyle w:val="Vaintekstin"/>
        <w:ind w:left="2608"/>
        <w:rPr>
          <w:rFonts w:ascii="Arial" w:hAnsi="Arial" w:cs="Arial"/>
          <w:sz w:val="22"/>
        </w:rPr>
      </w:pPr>
    </w:p>
    <w:p w:rsidR="00AA5E73" w:rsidRPr="008852D6" w:rsidRDefault="003649B3" w:rsidP="00AA5E73">
      <w:pPr>
        <w:pStyle w:val="Vaintekstin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Mannitol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5E73" w:rsidRPr="00AA5E73">
        <w:rPr>
          <w:rFonts w:asciiTheme="minorHAnsi" w:hAnsiTheme="minorHAnsi" w:cstheme="minorHAnsi"/>
          <w:color w:val="000000"/>
          <w:sz w:val="22"/>
          <w:szCs w:val="22"/>
        </w:rPr>
        <w:t xml:space="preserve">(150mg/ml) 200ml + 1500ml vettä. </w:t>
      </w:r>
      <w:r w:rsidR="00AA5E73" w:rsidRPr="008852D6">
        <w:rPr>
          <w:rFonts w:ascii="Calibri" w:hAnsi="Calibri"/>
          <w:color w:val="000000"/>
        </w:rPr>
        <w:t> </w:t>
      </w:r>
    </w:p>
    <w:p w:rsidR="00625DDA" w:rsidRDefault="00625DDA" w:rsidP="00625DDA">
      <w:pPr>
        <w:pStyle w:val="Vaintekstin"/>
        <w:rPr>
          <w:rFonts w:ascii="Arial" w:hAnsi="Arial" w:cs="Arial"/>
          <w:sz w:val="22"/>
        </w:rPr>
      </w:pPr>
    </w:p>
    <w:p w:rsidR="00625DDA" w:rsidRPr="001F1173" w:rsidRDefault="00625DDA" w:rsidP="00625DDA">
      <w:pPr>
        <w:pStyle w:val="Vaintekstin"/>
        <w:ind w:left="2610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2"/>
        </w:rPr>
        <w:t>Oli</w:t>
      </w:r>
      <w:r w:rsidR="008852D6">
        <w:rPr>
          <w:rFonts w:ascii="Arial" w:hAnsi="Arial" w:cs="Arial"/>
          <w:sz w:val="22"/>
        </w:rPr>
        <w:t>si suotavaa, että tyhjentäisit</w:t>
      </w:r>
      <w:r>
        <w:rPr>
          <w:rFonts w:ascii="Arial" w:hAnsi="Arial" w:cs="Arial"/>
          <w:sz w:val="22"/>
        </w:rPr>
        <w:t xml:space="preserve"> rakon vasta tutkimuksen jälkeen</w:t>
      </w:r>
      <w:r w:rsidRPr="001F1173">
        <w:rPr>
          <w:rFonts w:asciiTheme="minorHAnsi" w:hAnsiTheme="minorHAnsi" w:cstheme="minorHAnsi"/>
          <w:sz w:val="22"/>
          <w:szCs w:val="22"/>
        </w:rPr>
        <w:t>.</w:t>
      </w:r>
      <w:r w:rsidR="008852D6" w:rsidRPr="001F1173">
        <w:rPr>
          <w:rFonts w:asciiTheme="minorHAnsi" w:hAnsiTheme="minorHAnsi" w:cstheme="minorHAnsi"/>
          <w:sz w:val="22"/>
          <w:szCs w:val="22"/>
        </w:rPr>
        <w:t xml:space="preserve"> Tutkimuksen aikana sinun tulee maata liikkumatta, koska liike aiheuttaa kuviin epätarkkuutta. Röntgenhoitajalla on sinuun puhe-, kuulo- ja näköyhteys.</w:t>
      </w:r>
    </w:p>
    <w:p w:rsidR="00625DDA" w:rsidRDefault="00625DDA" w:rsidP="00625DDA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Suoneen annettava varjoaine voi aiheuttaa lämmön tunnetta kaulalla ja lantiossa, ja suussa voi tuntua me</w:t>
      </w:r>
      <w:r w:rsidR="001F1173">
        <w:rPr>
          <w:rFonts w:ascii="Arial" w:hAnsi="Arial" w:cs="Arial"/>
          <w:sz w:val="22"/>
        </w:rPr>
        <w:t>tallin makua</w:t>
      </w:r>
      <w:r>
        <w:rPr>
          <w:rFonts w:ascii="Arial" w:hAnsi="Arial" w:cs="Arial"/>
          <w:sz w:val="22"/>
        </w:rPr>
        <w:t xml:space="preserve">. </w:t>
      </w:r>
    </w:p>
    <w:p w:rsidR="00093F5F" w:rsidRDefault="00093F5F" w:rsidP="00625DDA">
      <w:pPr>
        <w:pStyle w:val="Vaintekstin"/>
        <w:ind w:left="2608"/>
        <w:rPr>
          <w:rFonts w:ascii="Arial" w:hAnsi="Arial" w:cs="Arial"/>
          <w:b/>
          <w:sz w:val="22"/>
        </w:rPr>
      </w:pPr>
    </w:p>
    <w:p w:rsidR="00625DDA" w:rsidRDefault="00625DDA" w:rsidP="00625DDA">
      <w:pPr>
        <w:pStyle w:val="Vaintekstin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JÄLKIHOITO</w:t>
      </w:r>
    </w:p>
    <w:p w:rsidR="00093F5F" w:rsidRDefault="00093F5F" w:rsidP="00625DDA">
      <w:pPr>
        <w:pStyle w:val="Vaintekstin"/>
        <w:rPr>
          <w:rFonts w:ascii="Arial" w:hAnsi="Arial" w:cs="Arial"/>
          <w:b/>
          <w:sz w:val="22"/>
        </w:rPr>
      </w:pPr>
    </w:p>
    <w:p w:rsidR="001F1173" w:rsidRDefault="001F1173" w:rsidP="001F1173">
      <w:pPr>
        <w:pStyle w:val="KappaleC2"/>
        <w:rPr>
          <w:rFonts w:ascii="Arial" w:hAnsi="Arial" w:cs="Arial"/>
        </w:rPr>
      </w:pPr>
      <w:r>
        <w:rPr>
          <w:rFonts w:ascii="Arial" w:hAnsi="Arial" w:cs="Arial"/>
        </w:rPr>
        <w:t>Juo</w:t>
      </w:r>
      <w:r w:rsidR="00625DDA">
        <w:rPr>
          <w:rFonts w:ascii="Arial" w:hAnsi="Arial" w:cs="Arial"/>
        </w:rPr>
        <w:t xml:space="preserve"> runsaasti, sillä se edistää varjoaineen poistumista elimistöstä.</w:t>
      </w:r>
      <w:r>
        <w:rPr>
          <w:rFonts w:ascii="Arial" w:hAnsi="Arial" w:cs="Arial"/>
        </w:rPr>
        <w:t xml:space="preserve"> </w:t>
      </w:r>
    </w:p>
    <w:p w:rsidR="00F716F2" w:rsidRDefault="00F716F2" w:rsidP="001F1173">
      <w:pPr>
        <w:pStyle w:val="KappaleC2"/>
        <w:rPr>
          <w:rFonts w:ascii="Arial" w:hAnsi="Arial" w:cs="Arial"/>
        </w:rPr>
      </w:pPr>
      <w:bookmarkStart w:id="0" w:name="_GoBack"/>
      <w:bookmarkEnd w:id="0"/>
    </w:p>
    <w:p w:rsidR="00625DDA" w:rsidRPr="001F1173" w:rsidRDefault="001F1173" w:rsidP="001F1173">
      <w:pPr>
        <w:pStyle w:val="KappaleC2"/>
      </w:pPr>
      <w:r w:rsidRPr="001F1173">
        <w:t>Saat tutkimuksen vastaukset lääkäriltä, joka hoitaa sinua. Jos et tiedä, kuinka saat vastaukset, kysy siltä poliklinikalta tai osastolta, josta sinut lähetettiin tutkimukseen.</w:t>
      </w:r>
    </w:p>
    <w:p w:rsidR="00625DDA" w:rsidRDefault="00625DDA" w:rsidP="00625DDA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625DDA" w:rsidRDefault="00625DDA" w:rsidP="00625DDA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</w:p>
    <w:p w:rsidR="001F1173" w:rsidRPr="001F1173" w:rsidRDefault="00625DDA" w:rsidP="00625DDA">
      <w:pPr>
        <w:pStyle w:val="Vaintekstin"/>
        <w:ind w:left="2608" w:hanging="2608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sz w:val="22"/>
        </w:rPr>
        <w:t>YHTEYSTIEDOT</w:t>
      </w:r>
    </w:p>
    <w:p w:rsidR="00625DDA" w:rsidRDefault="00093F5F" w:rsidP="001F1173">
      <w:pPr>
        <w:pStyle w:val="KappaleC2"/>
      </w:pPr>
      <w:r>
        <w:t xml:space="preserve">Peru aika, jos et pääse tulemaan. </w:t>
      </w:r>
      <w:r w:rsidR="001F1173">
        <w:t>Jos sinulla</w:t>
      </w:r>
      <w:r w:rsidR="00625DDA">
        <w:t xml:space="preserve"> on k</w:t>
      </w:r>
      <w:r w:rsidR="001F1173">
        <w:t>ysyttävää tutkimuksesta, ota</w:t>
      </w:r>
      <w:r w:rsidR="00625DDA">
        <w:t xml:space="preserve"> yhteys röntgen </w:t>
      </w:r>
      <w:proofErr w:type="gramStart"/>
      <w:r w:rsidR="00625DDA">
        <w:t>2:een</w:t>
      </w:r>
      <w:proofErr w:type="gramEnd"/>
      <w:r w:rsidR="00625DDA">
        <w:t xml:space="preserve">, </w:t>
      </w:r>
    </w:p>
    <w:p w:rsidR="00625DDA" w:rsidRDefault="00625DDA" w:rsidP="001F1173">
      <w:pPr>
        <w:pStyle w:val="KappaleC2"/>
      </w:pPr>
      <w:r>
        <w:t xml:space="preserve">puh 017 </w:t>
      </w:r>
      <w:r w:rsidR="00545D22">
        <w:t>–</w:t>
      </w:r>
      <w:r>
        <w:t xml:space="preserve"> 173</w:t>
      </w:r>
      <w:r w:rsidR="00545D22">
        <w:t xml:space="preserve"> </w:t>
      </w:r>
      <w:r>
        <w:t>307 arkisin klo 8.00 - 14.30.</w:t>
      </w:r>
    </w:p>
    <w:p w:rsidR="00625DDA" w:rsidRPr="009B4A3D" w:rsidRDefault="00625DDA" w:rsidP="00625DDA">
      <w:pPr>
        <w:pStyle w:val="KappaleC1"/>
      </w:pPr>
    </w:p>
    <w:p w:rsidR="00625DDA" w:rsidRPr="009B4A3D" w:rsidRDefault="00625DDA" w:rsidP="00625DDA">
      <w:pPr>
        <w:pStyle w:val="KappaleC1"/>
      </w:pPr>
    </w:p>
    <w:p w:rsidR="001F1173" w:rsidRPr="001F1173" w:rsidRDefault="001F1173" w:rsidP="001F117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F1173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Lisätietoa kuvantamistutkimuksista, säteilystä, röntgensäteilyn vaikutuksesta ja eri tutkimusten säteilyaltistuksesta saat internetistä </w:t>
      </w:r>
      <w:r w:rsidRPr="001F1173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1F1173" w:rsidRPr="001F1173" w:rsidRDefault="00F716F2" w:rsidP="001F117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tgtFrame="_blank" w:history="1">
        <w:r w:rsidR="001F1173" w:rsidRPr="001F1173">
          <w:rPr>
            <w:rStyle w:val="normaltextrun"/>
            <w:rFonts w:asciiTheme="minorHAnsi" w:hAnsiTheme="minorHAnsi" w:cstheme="minorHAnsi"/>
            <w:color w:val="0563C1"/>
            <w:position w:val="4"/>
            <w:sz w:val="22"/>
            <w:szCs w:val="22"/>
            <w:u w:val="single"/>
          </w:rPr>
          <w:t>www.tutkimukseen.fi</w:t>
        </w:r>
      </w:hyperlink>
      <w:r w:rsidR="001F1173" w:rsidRPr="001F1173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 </w:t>
      </w:r>
      <w:r w:rsidR="001F1173" w:rsidRPr="001F1173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1F1173" w:rsidRPr="001F1173" w:rsidRDefault="00F716F2" w:rsidP="001F117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3" w:tgtFrame="_blank" w:history="1">
        <w:r w:rsidR="001F1173" w:rsidRPr="001F1173">
          <w:rPr>
            <w:rStyle w:val="normaltextrun"/>
            <w:rFonts w:asciiTheme="minorHAnsi" w:hAnsiTheme="minorHAnsi" w:cstheme="minorHAnsi"/>
            <w:color w:val="0563C1"/>
            <w:position w:val="4"/>
            <w:sz w:val="22"/>
            <w:szCs w:val="22"/>
            <w:u w:val="single"/>
          </w:rPr>
          <w:t>www.stuk.fi</w:t>
        </w:r>
      </w:hyperlink>
      <w:r w:rsidR="001F1173" w:rsidRPr="001F1173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1F1173" w:rsidRDefault="001F1173" w:rsidP="001F11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26435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F716F2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F716F2" w:rsidRPr="00F716F2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26435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OHJE-2013-05221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26435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26435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F716F2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F716F2">
            <w:rPr>
              <w:rFonts w:ascii="Arial" w:hAnsi="Arial" w:cs="Arial"/>
              <w:noProof/>
            </w:rPr>
            <w:instrText>16.8.2021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F716F2">
            <w:rPr>
              <w:rFonts w:ascii="Arial" w:hAnsi="Arial" w:cs="Arial"/>
              <w:noProof/>
            </w:rPr>
            <w:t>16.8.2021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A808AB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1BE14E05"/>
    <w:multiLevelType w:val="hybridMultilevel"/>
    <w:tmpl w:val="B692803E"/>
    <w:lvl w:ilvl="0" w:tplc="3C1A3DAE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1D8940EB"/>
    <w:multiLevelType w:val="multilevel"/>
    <w:tmpl w:val="8CB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A749E8"/>
    <w:multiLevelType w:val="hybridMultilevel"/>
    <w:tmpl w:val="A2204CBE"/>
    <w:lvl w:ilvl="0" w:tplc="025CFE8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5" w15:restartNumberingAfterBreak="0">
    <w:nsid w:val="3CB93CB3"/>
    <w:multiLevelType w:val="multilevel"/>
    <w:tmpl w:val="E5D6D534"/>
    <w:numStyleLink w:val="IstMerkittyluetteloC0"/>
  </w:abstractNum>
  <w:abstractNum w:abstractNumId="6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18D0E02"/>
    <w:multiLevelType w:val="multilevel"/>
    <w:tmpl w:val="8E10770E"/>
    <w:numStyleLink w:val="IstmerkittyluetteloC1"/>
  </w:abstractNum>
  <w:abstractNum w:abstractNumId="9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3F5F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0C6B"/>
    <w:rsid w:val="001D101D"/>
    <w:rsid w:val="001F1173"/>
    <w:rsid w:val="002017B8"/>
    <w:rsid w:val="00203CD0"/>
    <w:rsid w:val="002041FD"/>
    <w:rsid w:val="00233E40"/>
    <w:rsid w:val="00236531"/>
    <w:rsid w:val="00236D25"/>
    <w:rsid w:val="0026375C"/>
    <w:rsid w:val="00263B2B"/>
    <w:rsid w:val="0026435D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649B3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B0A19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45D22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25DDA"/>
    <w:rsid w:val="00632A91"/>
    <w:rsid w:val="006705AA"/>
    <w:rsid w:val="006764AB"/>
    <w:rsid w:val="006824D0"/>
    <w:rsid w:val="006910B0"/>
    <w:rsid w:val="00691210"/>
    <w:rsid w:val="006955B5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4CDD"/>
    <w:rsid w:val="008363D4"/>
    <w:rsid w:val="00854CE8"/>
    <w:rsid w:val="0085549C"/>
    <w:rsid w:val="0086758B"/>
    <w:rsid w:val="00867621"/>
    <w:rsid w:val="00871A83"/>
    <w:rsid w:val="008852D6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808AB"/>
    <w:rsid w:val="00AA5E73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1D58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2171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16F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B13036"/>
  <w15:docId w15:val="{88917A59-DB36-484B-B508-DF70195C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625DDA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625DDA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1F1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1F1173"/>
  </w:style>
  <w:style w:type="character" w:customStyle="1" w:styleId="eop">
    <w:name w:val="eop"/>
    <w:basedOn w:val="Kappaleenoletusfontti"/>
    <w:rsid w:val="001F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0762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OHJE-2013-05221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 Enterografia -tietokonetomografiatutkimus </gbs:Title>
  <gbs:CF_instructiondescription gbs:loadFromGrowBusiness="OnEdit" gbs:saveInGrowBusiness="False" gbs:connected="true" gbs:recno="" gbs:entity="" gbs:datatype="note" gbs:key="10004" gbs:removeContentControl="0">Enterografia - suolistonalueen kerroskuvaus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54BCD52-4A0F-4162-AE6F-51CC9C40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2634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2021-08-16T07:15:00Z</dcterms:created>
  <dcterms:modified xsi:type="dcterms:W3CDTF">2021-08-16T07:16:00Z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Enterografia -tietokonetomografiatutkimus </vt:lpwstr>
  </property>
  <property fmtid="{D5CDD505-2E9C-101B-9397-08002B2CF9AE}" pid="6" name="docId">
    <vt:lpwstr>207626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327232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414284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OHJE-2013-05221 Enterografia -tietokonetomografiatutkimus  414284_327232_0.DOCX</vt:lpwstr>
  </property>
  <property fmtid="{D5CDD505-2E9C-101B-9397-08002B2CF9AE}" pid="29" name="FullFileName">
    <vt:lpwstr>\\Z10099\D360_Work_tuotanto\work\shp\heidiil\OHJE-2013-05221 Enterografia -tietokonetomografiatutkimus  414284_327232_0.DOCX</vt:lpwstr>
  </property>
</Properties>
</file>